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12"/>
          <w:rFonts w:ascii="黑体" w:hAnsi="黑体" w:eastAsia="黑体" w:cs="黑体"/>
          <w:b w:val="0"/>
          <w:bCs/>
          <w:color w:val="000000"/>
          <w:sz w:val="32"/>
          <w:szCs w:val="32"/>
          <w:shd w:val="clear" w:color="auto" w:fill="FFFFFF"/>
        </w:rPr>
      </w:pPr>
      <w:r>
        <w:rPr>
          <w:rStyle w:val="12"/>
          <w:rFonts w:hint="eastAsia" w:ascii="黑体" w:hAnsi="黑体" w:eastAsia="黑体" w:cs="黑体"/>
          <w:b w:val="0"/>
          <w:bCs/>
          <w:color w:val="000000"/>
          <w:sz w:val="32"/>
          <w:szCs w:val="32"/>
          <w:shd w:val="clear" w:color="auto" w:fill="FFFFFF"/>
        </w:rPr>
        <w:t>附件</w:t>
      </w:r>
    </w:p>
    <w:p>
      <w:pPr>
        <w:rPr>
          <w:rFonts w:ascii="仿宋" w:hAnsi="仿宋" w:eastAsia="仿宋" w:cs="仿宋"/>
        </w:rPr>
      </w:pPr>
    </w:p>
    <w:p>
      <w:pPr>
        <w:snapToGrid w:val="0"/>
        <w:jc w:val="center"/>
        <w:rPr>
          <w:rFonts w:ascii="黑体" w:hAnsi="黑体" w:eastAsia="黑体" w:cs="黑体"/>
          <w:bCs/>
          <w:kern w:val="11"/>
          <w:sz w:val="48"/>
          <w:szCs w:val="48"/>
        </w:rPr>
      </w:pPr>
      <w:r>
        <w:rPr>
          <w:rFonts w:hint="eastAsia" w:ascii="黑体" w:hAnsi="黑体" w:eastAsia="黑体" w:cs="黑体"/>
          <w:bCs/>
          <w:kern w:val="11"/>
          <w:sz w:val="48"/>
          <w:szCs w:val="48"/>
        </w:rPr>
        <w:t>特色化网络安全产教融合创新中心</w:t>
      </w:r>
    </w:p>
    <w:p>
      <w:pPr>
        <w:snapToGrid w:val="0"/>
        <w:jc w:val="center"/>
        <w:rPr>
          <w:rFonts w:ascii="黑体" w:hAnsi="黑体" w:eastAsia="黑体" w:cs="黑体"/>
          <w:sz w:val="48"/>
          <w:szCs w:val="48"/>
        </w:rPr>
      </w:pPr>
      <w:r>
        <w:rPr>
          <w:rFonts w:hint="eastAsia" w:ascii="黑体" w:hAnsi="黑体" w:eastAsia="黑体" w:cs="黑体"/>
          <w:sz w:val="48"/>
          <w:szCs w:val="48"/>
        </w:rPr>
        <w:t>申报指南</w:t>
      </w:r>
    </w:p>
    <w:p>
      <w:pPr>
        <w:pStyle w:val="5"/>
        <w:tabs>
          <w:tab w:val="left" w:pos="2160"/>
          <w:tab w:val="left" w:pos="2520"/>
        </w:tabs>
        <w:spacing w:line="720" w:lineRule="exact"/>
        <w:ind w:firstLine="301" w:firstLineChars="100"/>
        <w:jc w:val="center"/>
        <w:rPr>
          <w:rFonts w:ascii="仿宋" w:hAnsi="仿宋" w:eastAsia="仿宋" w:cs="仿宋"/>
          <w:b/>
          <w:bCs/>
          <w:sz w:val="30"/>
          <w:szCs w:val="30"/>
          <w:u w:val="single"/>
        </w:rPr>
      </w:pPr>
    </w:p>
    <w:p>
      <w:pPr>
        <w:adjustRightInd w:val="0"/>
        <w:snapToGrid w:val="0"/>
        <w:spacing w:line="560" w:lineRule="exact"/>
        <w:ind w:firstLine="480" w:firstLineChars="150"/>
        <w:jc w:val="left"/>
        <w:rPr>
          <w:rFonts w:ascii="仿宋" w:hAnsi="仿宋" w:eastAsia="仿宋" w:cs="仿宋"/>
          <w:sz w:val="32"/>
          <w:szCs w:val="32"/>
        </w:rPr>
      </w:pPr>
    </w:p>
    <w:p>
      <w:pPr>
        <w:adjustRightInd w:val="0"/>
        <w:snapToGrid w:val="0"/>
        <w:spacing w:line="66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学 校 名 称（盖 章）：</w:t>
      </w:r>
      <w:r>
        <w:rPr>
          <w:rFonts w:hint="eastAsia" w:ascii="仿宋" w:hAnsi="仿宋" w:eastAsia="仿宋" w:cs="仿宋"/>
          <w:sz w:val="32"/>
          <w:szCs w:val="32"/>
          <w:u w:val="single"/>
        </w:rPr>
        <w:t xml:space="preserve">                           </w:t>
      </w:r>
    </w:p>
    <w:p>
      <w:pPr>
        <w:adjustRightInd w:val="0"/>
        <w:snapToGrid w:val="0"/>
        <w:spacing w:line="66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联       系       人：</w:t>
      </w:r>
      <w:r>
        <w:rPr>
          <w:rFonts w:hint="eastAsia" w:ascii="仿宋" w:hAnsi="仿宋" w:eastAsia="仿宋" w:cs="仿宋"/>
          <w:sz w:val="32"/>
          <w:szCs w:val="32"/>
          <w:u w:val="single"/>
        </w:rPr>
        <w:t xml:space="preserve">                           </w:t>
      </w:r>
    </w:p>
    <w:p>
      <w:pPr>
        <w:adjustRightInd w:val="0"/>
        <w:snapToGrid w:val="0"/>
        <w:spacing w:line="66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职                务：</w:t>
      </w:r>
      <w:r>
        <w:rPr>
          <w:rFonts w:hint="eastAsia" w:ascii="仿宋" w:hAnsi="仿宋" w:eastAsia="仿宋" w:cs="仿宋"/>
          <w:sz w:val="32"/>
          <w:szCs w:val="32"/>
          <w:u w:val="single"/>
        </w:rPr>
        <w:t xml:space="preserve">                           </w:t>
      </w:r>
    </w:p>
    <w:p>
      <w:pPr>
        <w:adjustRightInd w:val="0"/>
        <w:snapToGrid w:val="0"/>
        <w:spacing w:line="660" w:lineRule="exact"/>
        <w:ind w:firstLine="480" w:firstLineChars="150"/>
        <w:jc w:val="left"/>
        <w:rPr>
          <w:rFonts w:ascii="仿宋" w:hAnsi="仿宋" w:eastAsia="仿宋" w:cs="仿宋"/>
          <w:sz w:val="32"/>
          <w:szCs w:val="32"/>
        </w:rPr>
      </w:pPr>
      <w:r>
        <w:rPr>
          <w:rFonts w:hint="eastAsia" w:ascii="仿宋" w:hAnsi="仿宋" w:eastAsia="仿宋" w:cs="仿宋"/>
          <w:sz w:val="32"/>
          <w:szCs w:val="32"/>
        </w:rPr>
        <w:t>联    系    电    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adjustRightInd w:val="0"/>
        <w:snapToGrid w:val="0"/>
        <w:spacing w:line="660" w:lineRule="exact"/>
        <w:ind w:firstLine="480" w:firstLineChars="150"/>
        <w:jc w:val="left"/>
        <w:rPr>
          <w:rFonts w:ascii="仿宋" w:hAnsi="仿宋" w:eastAsia="仿宋" w:cs="仿宋"/>
          <w:sz w:val="36"/>
          <w:szCs w:val="36"/>
        </w:rPr>
      </w:pPr>
      <w:r>
        <w:rPr>
          <w:rFonts w:hint="eastAsia" w:ascii="仿宋" w:hAnsi="仿宋" w:eastAsia="仿宋" w:cs="仿宋"/>
          <w:sz w:val="32"/>
          <w:szCs w:val="32"/>
        </w:rPr>
        <w:t>申    报    日    期：</w:t>
      </w:r>
      <w:r>
        <w:rPr>
          <w:rFonts w:hint="eastAsia" w:ascii="仿宋" w:hAnsi="仿宋" w:eastAsia="仿宋" w:cs="仿宋"/>
          <w:sz w:val="32"/>
          <w:szCs w:val="32"/>
          <w:u w:val="single"/>
        </w:rPr>
        <w:t xml:space="preserve">                              </w:t>
      </w:r>
    </w:p>
    <w:p>
      <w:pPr>
        <w:adjustRightInd w:val="0"/>
        <w:snapToGrid w:val="0"/>
        <w:spacing w:line="560" w:lineRule="exact"/>
        <w:jc w:val="center"/>
        <w:rPr>
          <w:rFonts w:ascii="仿宋" w:hAnsi="仿宋" w:eastAsia="仿宋" w:cs="仿宋"/>
          <w:sz w:val="36"/>
          <w:szCs w:val="36"/>
        </w:rPr>
      </w:pPr>
    </w:p>
    <w:p>
      <w:pPr>
        <w:adjustRightInd w:val="0"/>
        <w:snapToGrid w:val="0"/>
        <w:spacing w:line="560" w:lineRule="exact"/>
        <w:rPr>
          <w:rFonts w:ascii="仿宋" w:hAnsi="仿宋" w:eastAsia="仿宋" w:cs="仿宋"/>
          <w:sz w:val="36"/>
          <w:szCs w:val="36"/>
        </w:rPr>
      </w:pPr>
    </w:p>
    <w:p>
      <w:pPr>
        <w:adjustRightInd w:val="0"/>
        <w:snapToGrid w:val="0"/>
        <w:spacing w:line="560" w:lineRule="exact"/>
        <w:rPr>
          <w:rFonts w:ascii="仿宋" w:hAnsi="仿宋" w:eastAsia="仿宋" w:cs="仿宋"/>
          <w:sz w:val="36"/>
          <w:szCs w:val="36"/>
        </w:rPr>
      </w:pPr>
    </w:p>
    <w:p>
      <w:pPr>
        <w:adjustRightInd w:val="0"/>
        <w:snapToGrid w:val="0"/>
        <w:spacing w:line="560" w:lineRule="exact"/>
        <w:rPr>
          <w:rFonts w:ascii="仿宋" w:hAnsi="仿宋" w:eastAsia="仿宋" w:cs="仿宋"/>
          <w:sz w:val="36"/>
          <w:szCs w:val="36"/>
        </w:rPr>
      </w:pPr>
    </w:p>
    <w:p>
      <w:pPr>
        <w:adjustRightInd w:val="0"/>
        <w:snapToGrid w:val="0"/>
        <w:spacing w:line="560" w:lineRule="exact"/>
        <w:rPr>
          <w:rFonts w:ascii="仿宋" w:hAnsi="仿宋" w:eastAsia="仿宋" w:cs="仿宋"/>
          <w:sz w:val="36"/>
          <w:szCs w:val="36"/>
        </w:rPr>
      </w:pPr>
    </w:p>
    <w:p>
      <w:pPr>
        <w:adjustRightInd w:val="0"/>
        <w:snapToGrid w:val="0"/>
        <w:spacing w:line="560" w:lineRule="exact"/>
        <w:rPr>
          <w:rFonts w:ascii="仿宋" w:hAnsi="仿宋" w:eastAsia="仿宋" w:cs="仿宋"/>
          <w:sz w:val="36"/>
          <w:szCs w:val="36"/>
        </w:rPr>
      </w:pPr>
    </w:p>
    <w:p>
      <w:pPr>
        <w:adjustRightInd w:val="0"/>
        <w:snapToGrid w:val="0"/>
        <w:spacing w:line="560" w:lineRule="exact"/>
        <w:rPr>
          <w:rFonts w:ascii="仿宋" w:hAnsi="仿宋" w:eastAsia="仿宋" w:cs="仿宋"/>
          <w:sz w:val="36"/>
          <w:szCs w:val="36"/>
        </w:rPr>
      </w:pPr>
    </w:p>
    <w:p>
      <w:pPr>
        <w:adjustRightInd w:val="0"/>
        <w:snapToGrid w:val="0"/>
        <w:spacing w:line="560" w:lineRule="exact"/>
        <w:rPr>
          <w:rFonts w:ascii="仿宋" w:hAnsi="仿宋" w:eastAsia="仿宋" w:cs="仿宋"/>
          <w:sz w:val="36"/>
          <w:szCs w:val="36"/>
        </w:rPr>
      </w:pPr>
    </w:p>
    <w:p>
      <w:pPr>
        <w:pStyle w:val="9"/>
        <w:widowControl/>
        <w:shd w:val="clear" w:color="auto" w:fill="FFFFFF"/>
        <w:spacing w:beforeAutospacing="0" w:afterAutospacing="0" w:line="580" w:lineRule="exact"/>
        <w:jc w:val="center"/>
        <w:rPr>
          <w:rFonts w:hint="eastAsia" w:ascii="Times New Roman Regular" w:hAnsi="Times New Roman Regular" w:eastAsia="仿宋_GB2312" w:cs="Times New Roman Regular"/>
          <w:sz w:val="32"/>
          <w:szCs w:val="32"/>
        </w:rPr>
      </w:pPr>
      <w:r>
        <w:rPr>
          <w:rFonts w:hint="eastAsia" w:ascii="仿宋_GB2312" w:hAnsi="仿宋_GB2312" w:eastAsia="仿宋_GB2312" w:cs="仿宋_GB2312"/>
          <w:color w:val="000000"/>
          <w:sz w:val="32"/>
          <w:szCs w:val="32"/>
          <w:shd w:val="clear" w:color="auto" w:fill="FFFFFF"/>
        </w:rPr>
        <w:t>网络安全技术与产业发展工业和信息化部重点实验室</w:t>
      </w:r>
    </w:p>
    <w:p>
      <w:pPr>
        <w:pStyle w:val="9"/>
        <w:widowControl/>
        <w:shd w:val="clear" w:color="auto" w:fill="FFFFFF"/>
        <w:spacing w:beforeAutospacing="0" w:afterAutospacing="0" w:line="58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（工业和信息化部网络安全产业发展中心）</w:t>
      </w:r>
    </w:p>
    <w:p>
      <w:pPr>
        <w:pStyle w:val="9"/>
        <w:widowControl/>
        <w:shd w:val="clear" w:color="auto" w:fill="FFFFFF"/>
        <w:spacing w:beforeAutospacing="0" w:afterAutospacing="0" w:line="580" w:lineRule="exact"/>
        <w:jc w:val="center"/>
        <w:rPr>
          <w:rFonts w:hint="default" w:ascii="Times New Roman Regular" w:hAnsi="Times New Roman Regular" w:eastAsia="仿宋_GB2312" w:cs="Times New Roman Regular"/>
          <w:color w:val="FF0000"/>
          <w:sz w:val="32"/>
          <w:szCs w:val="32"/>
          <w:lang w:val="en-US"/>
        </w:rPr>
      </w:pPr>
      <w:r>
        <w:rPr>
          <w:rFonts w:ascii="Times New Roman Regular" w:hAnsi="Times New Roman Regular" w:eastAsia="仿宋_GB2312" w:cs="Times New Roman Regular"/>
          <w:sz w:val="32"/>
          <w:szCs w:val="32"/>
        </w:rPr>
        <w:t>2023</w:t>
      </w:r>
      <w:r>
        <w:rPr>
          <w:rFonts w:hint="eastAsia" w:ascii="Times New Roman Regular" w:hAnsi="Times New Roman Regular" w:eastAsia="仿宋_GB2312" w:cs="Times New Roman Regular"/>
          <w:sz w:val="32"/>
          <w:szCs w:val="32"/>
          <w:lang w:eastAsia="zh-Hans"/>
        </w:rPr>
        <w:t>年</w:t>
      </w:r>
      <w:r>
        <w:rPr>
          <w:rFonts w:ascii="Times New Roman Regular" w:hAnsi="Times New Roman Regular" w:eastAsia="仿宋_GB2312" w:cs="Times New Roman Regular"/>
          <w:sz w:val="32"/>
          <w:szCs w:val="32"/>
          <w:lang w:eastAsia="zh-Hans"/>
        </w:rPr>
        <w:t>5</w:t>
      </w:r>
      <w:r>
        <w:rPr>
          <w:rFonts w:hint="eastAsia" w:ascii="Times New Roman Regular" w:hAnsi="Times New Roman Regular" w:eastAsia="仿宋_GB2312" w:cs="Times New Roman Regular"/>
          <w:sz w:val="32"/>
          <w:szCs w:val="32"/>
          <w:lang w:eastAsia="zh-Hans"/>
        </w:rPr>
        <w:t>月</w:t>
      </w:r>
      <w:r>
        <w:rPr>
          <w:rFonts w:hint="default" w:ascii="Times New Roman Regular" w:hAnsi="Times New Roman Regular" w:eastAsia="仿宋_GB2312" w:cs="Times New Roman Regular"/>
          <w:sz w:val="32"/>
          <w:szCs w:val="32"/>
          <w:lang w:eastAsia="zh-Hans"/>
        </w:rPr>
        <w:t>17</w:t>
      </w:r>
      <w:r>
        <w:rPr>
          <w:rFonts w:hint="eastAsia" w:ascii="Times New Roman Regular" w:hAnsi="Times New Roman Regular" w:eastAsia="仿宋_GB2312" w:cs="Times New Roman Regular"/>
          <w:sz w:val="32"/>
          <w:szCs w:val="32"/>
          <w:lang w:val="en-US" w:eastAsia="zh-Hans"/>
        </w:rPr>
        <w:t>日</w:t>
      </w:r>
      <w:bookmarkStart w:id="2" w:name="_GoBack"/>
      <w:bookmarkEnd w:id="2"/>
    </w:p>
    <w:p>
      <w:pPr>
        <w:jc w:val="center"/>
        <w:rPr>
          <w:rFonts w:ascii="仿宋" w:hAnsi="仿宋" w:eastAsia="仿宋" w:cs="仿宋"/>
          <w:sz w:val="28"/>
          <w:szCs w:val="36"/>
        </w:rPr>
      </w:pPr>
      <w:r>
        <w:rPr>
          <w:rFonts w:hint="eastAsia" w:ascii="仿宋" w:hAnsi="仿宋" w:eastAsia="仿宋" w:cs="仿宋"/>
          <w:sz w:val="28"/>
          <w:szCs w:val="36"/>
        </w:rPr>
        <w:br w:type="page"/>
      </w:r>
    </w:p>
    <w:p>
      <w:pPr>
        <w:jc w:val="center"/>
        <w:rPr>
          <w:rFonts w:ascii="仿宋" w:hAnsi="仿宋" w:eastAsia="仿宋" w:cs="仿宋"/>
          <w:sz w:val="28"/>
          <w:szCs w:val="36"/>
        </w:rPr>
      </w:pPr>
    </w:p>
    <w:p>
      <w:pPr>
        <w:jc w:val="center"/>
        <w:rPr>
          <w:rFonts w:ascii="仿宋" w:hAnsi="仿宋" w:eastAsia="仿宋" w:cs="仿宋"/>
          <w:bCs/>
          <w:w w:val="98"/>
          <w:sz w:val="44"/>
          <w:szCs w:val="44"/>
        </w:rPr>
      </w:pPr>
      <w:r>
        <w:rPr>
          <w:rFonts w:hint="eastAsia" w:ascii="黑体" w:hAnsi="黑体" w:eastAsia="黑体" w:cs="黑体"/>
          <w:w w:val="98"/>
          <w:sz w:val="44"/>
          <w:szCs w:val="44"/>
        </w:rPr>
        <w:t>特色化网络安全产教融合创新中心申报指南</w:t>
      </w:r>
    </w:p>
    <w:p>
      <w:pPr>
        <w:pStyle w:val="2"/>
        <w:snapToGrid w:val="0"/>
        <w:spacing w:after="0" w:line="560" w:lineRule="exact"/>
        <w:ind w:firstLine="562" w:firstLineChars="200"/>
        <w:rPr>
          <w:rFonts w:ascii="仿宋" w:hAnsi="仿宋" w:eastAsia="仿宋" w:cs="仿宋"/>
          <w:b/>
          <w:bCs/>
          <w:sz w:val="28"/>
          <w:szCs w:val="36"/>
          <w:lang w:eastAsia="zh-Hans"/>
        </w:rPr>
      </w:pPr>
    </w:p>
    <w:p>
      <w:pPr>
        <w:pStyle w:val="2"/>
        <w:snapToGrid w:val="0"/>
        <w:spacing w:after="0" w:line="560" w:lineRule="exact"/>
        <w:ind w:firstLine="560" w:firstLineChars="200"/>
        <w:rPr>
          <w:rFonts w:ascii="黑体" w:hAnsi="黑体" w:eastAsia="黑体" w:cs="黑体"/>
          <w:sz w:val="28"/>
          <w:szCs w:val="36"/>
          <w:lang w:eastAsia="zh-Hans"/>
        </w:rPr>
      </w:pPr>
      <w:r>
        <w:rPr>
          <w:rFonts w:hint="eastAsia" w:ascii="黑体" w:hAnsi="黑体" w:eastAsia="黑体" w:cs="黑体"/>
          <w:sz w:val="28"/>
          <w:szCs w:val="36"/>
          <w:lang w:eastAsia="zh-Hans"/>
        </w:rPr>
        <w:t>一、</w:t>
      </w:r>
      <w:r>
        <w:rPr>
          <w:rFonts w:hint="eastAsia" w:ascii="黑体" w:hAnsi="黑体" w:eastAsia="黑体" w:cs="黑体"/>
          <w:sz w:val="28"/>
          <w:szCs w:val="36"/>
        </w:rPr>
        <w:t>背景</w:t>
      </w:r>
      <w:r>
        <w:rPr>
          <w:rFonts w:hint="eastAsia" w:ascii="黑体" w:hAnsi="黑体" w:eastAsia="黑体" w:cs="黑体"/>
          <w:sz w:val="28"/>
          <w:szCs w:val="36"/>
          <w:lang w:eastAsia="zh-Hans"/>
        </w:rPr>
        <w:t>介绍</w:t>
      </w:r>
    </w:p>
    <w:p>
      <w:pPr>
        <w:snapToGrid w:val="0"/>
        <w:spacing w:line="560" w:lineRule="exact"/>
        <w:ind w:firstLine="560" w:firstLineChars="200"/>
        <w:rPr>
          <w:rFonts w:hint="eastAsia"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sz w:val="28"/>
          <w:szCs w:val="28"/>
          <w:lang w:eastAsia="zh-Hans"/>
        </w:rPr>
        <w:t>党中央</w:t>
      </w:r>
      <w:r>
        <w:rPr>
          <w:rFonts w:ascii="Times New Roman Regular" w:hAnsi="Times New Roman Regular" w:eastAsia="仿宋_GB2312" w:cs="Times New Roman Regular"/>
          <w:sz w:val="28"/>
          <w:szCs w:val="28"/>
        </w:rPr>
        <w:t>、国务院</w:t>
      </w:r>
      <w:r>
        <w:rPr>
          <w:rFonts w:hint="eastAsia" w:ascii="Times New Roman Regular" w:hAnsi="Times New Roman Regular" w:eastAsia="仿宋_GB2312" w:cs="Times New Roman Regular"/>
          <w:sz w:val="28"/>
          <w:szCs w:val="28"/>
        </w:rPr>
        <w:t>高度重视网络安全产业创新发展及人才培养工作，</w:t>
      </w:r>
      <w:r>
        <w:rPr>
          <w:rFonts w:ascii="Times New Roman Regular" w:hAnsi="Times New Roman Regular" w:eastAsia="仿宋_GB2312" w:cs="Times New Roman Regular"/>
          <w:sz w:val="28"/>
          <w:szCs w:val="28"/>
        </w:rPr>
        <w:t>中央网信办、工信部、教育部等</w:t>
      </w:r>
      <w:r>
        <w:rPr>
          <w:rFonts w:hint="eastAsia" w:ascii="Times New Roman Regular" w:hAnsi="Times New Roman Regular" w:eastAsia="仿宋_GB2312" w:cs="Times New Roman Regular"/>
          <w:sz w:val="28"/>
          <w:szCs w:val="28"/>
          <w:lang w:eastAsia="zh-Hans"/>
        </w:rPr>
        <w:t>部门印发</w:t>
      </w:r>
      <w:r>
        <w:rPr>
          <w:rFonts w:hint="eastAsia" w:ascii="Times New Roman Regular" w:hAnsi="Times New Roman Regular" w:eastAsia="仿宋_GB2312" w:cs="Times New Roman Regular"/>
          <w:sz w:val="28"/>
          <w:szCs w:val="28"/>
        </w:rPr>
        <w:t>《关于加强网络安全学科建设和人才培养的意见》</w:t>
      </w:r>
      <w:r>
        <w:rPr>
          <w:rFonts w:ascii="Times New Roman Regular" w:hAnsi="Times New Roman Regular" w:eastAsia="仿宋_GB2312" w:cs="Times New Roman Regular"/>
          <w:sz w:val="28"/>
          <w:szCs w:val="28"/>
        </w:rPr>
        <w:t>，</w:t>
      </w:r>
      <w:r>
        <w:rPr>
          <w:rFonts w:hint="eastAsia" w:ascii="Times New Roman Regular" w:hAnsi="Times New Roman Regular" w:eastAsia="仿宋_GB2312" w:cs="Times New Roman Regular"/>
          <w:sz w:val="28"/>
          <w:szCs w:val="28"/>
        </w:rPr>
        <w:t>重点加强一流网络安全学科</w:t>
      </w:r>
      <w:r>
        <w:rPr>
          <w:rFonts w:ascii="Times New Roman Regular" w:hAnsi="Times New Roman Regular" w:eastAsia="仿宋_GB2312" w:cs="Times New Roman Regular"/>
          <w:sz w:val="28"/>
          <w:szCs w:val="28"/>
        </w:rPr>
        <w:t>建设</w:t>
      </w:r>
      <w:r>
        <w:rPr>
          <w:rFonts w:hint="eastAsia" w:ascii="Times New Roman Regular" w:hAnsi="Times New Roman Regular" w:eastAsia="仿宋_GB2312" w:cs="Times New Roman Regular"/>
          <w:sz w:val="28"/>
          <w:szCs w:val="28"/>
        </w:rPr>
        <w:t>工作，以满足网络安全产业对应用型、技能型、复合型人才的迫切需要</w:t>
      </w:r>
      <w:r>
        <w:rPr>
          <w:rFonts w:ascii="Times New Roman Regular" w:hAnsi="Times New Roman Regular" w:eastAsia="仿宋_GB2312" w:cs="Times New Roman Regular"/>
          <w:sz w:val="28"/>
          <w:szCs w:val="28"/>
        </w:rPr>
        <w:t>。</w:t>
      </w:r>
    </w:p>
    <w:p>
      <w:pPr>
        <w:snapToGrid w:val="0"/>
        <w:spacing w:line="560" w:lineRule="exact"/>
        <w:ind w:firstLine="560" w:firstLineChars="200"/>
        <w:rPr>
          <w:rFonts w:hint="eastAsia"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sz w:val="28"/>
          <w:szCs w:val="28"/>
        </w:rPr>
        <w:t>工业和信息化部</w:t>
      </w:r>
      <w:r>
        <w:rPr>
          <w:rFonts w:ascii="Times New Roman Regular" w:hAnsi="Times New Roman Regular" w:eastAsia="仿宋_GB2312" w:cs="Times New Roman Regular"/>
          <w:sz w:val="28"/>
          <w:szCs w:val="28"/>
        </w:rPr>
        <w:t>网络安全产业发展中心</w:t>
      </w:r>
      <w:r>
        <w:rPr>
          <w:rFonts w:hint="eastAsia" w:ascii="Times New Roman Regular" w:hAnsi="Times New Roman Regular" w:eastAsia="仿宋_GB2312" w:cs="Times New Roman Regular"/>
          <w:sz w:val="28"/>
          <w:szCs w:val="28"/>
        </w:rPr>
        <w:t>作为工信部直属</w:t>
      </w:r>
      <w:r>
        <w:rPr>
          <w:rFonts w:hint="eastAsia" w:ascii="Times New Roman Regular" w:hAnsi="Times New Roman Regular" w:eastAsia="仿宋_GB2312" w:cs="Times New Roman Regular"/>
          <w:sz w:val="28"/>
          <w:szCs w:val="28"/>
          <w:lang w:eastAsia="zh-Hans"/>
        </w:rPr>
        <w:t>事业</w:t>
      </w:r>
      <w:r>
        <w:rPr>
          <w:rFonts w:hint="eastAsia" w:ascii="Times New Roman Regular" w:hAnsi="Times New Roman Regular" w:eastAsia="仿宋_GB2312" w:cs="Times New Roman Regular"/>
          <w:sz w:val="28"/>
          <w:szCs w:val="28"/>
        </w:rPr>
        <w:t>单位，主要承担与国家网络安全产业相关的发展战略、规划、政策、标准研究，数据监测、发布与分析、成果转化等工作，并负责网络安全技术与产业发展工业和信息化部重点实验室的运营。</w:t>
      </w:r>
    </w:p>
    <w:p>
      <w:pPr>
        <w:pStyle w:val="2"/>
        <w:snapToGrid w:val="0"/>
        <w:spacing w:after="0" w:line="560" w:lineRule="exact"/>
        <w:ind w:firstLine="560" w:firstLineChars="200"/>
        <w:rPr>
          <w:rFonts w:hint="eastAsia"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2022年工信部网络安全产业发展中心《网络安全产业人才发展报告》指出，用人单位在招聘时更注重网络安全人才技术基础及沟通交流能力和实战能力。央视网报道：“据教育部最新公布的数据显示，到2027年，我国网络安全人员缺口将达327万。”</w:t>
      </w:r>
    </w:p>
    <w:p>
      <w:pPr>
        <w:pStyle w:val="2"/>
        <w:snapToGrid w:val="0"/>
        <w:spacing w:after="0" w:line="560" w:lineRule="exact"/>
        <w:ind w:firstLine="560" w:firstLineChars="200"/>
        <w:rPr>
          <w:rFonts w:hint="eastAsia"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sz w:val="28"/>
          <w:szCs w:val="28"/>
        </w:rPr>
        <w:t>为进一步</w:t>
      </w:r>
      <w:r>
        <w:rPr>
          <w:rFonts w:hint="eastAsia" w:ascii="Times New Roman Regular" w:hAnsi="Times New Roman Regular" w:eastAsia="仿宋_GB2312" w:cs="Times New Roman Regular"/>
          <w:sz w:val="28"/>
          <w:szCs w:val="28"/>
          <w:lang w:eastAsia="zh-Hans"/>
        </w:rPr>
        <w:t>汇集</w:t>
      </w:r>
      <w:r>
        <w:rPr>
          <w:rFonts w:hint="eastAsia" w:ascii="Times New Roman Regular" w:hAnsi="Times New Roman Regular" w:eastAsia="仿宋_GB2312" w:cs="Times New Roman Regular"/>
          <w:sz w:val="28"/>
          <w:szCs w:val="28"/>
        </w:rPr>
        <w:t>网络安全</w:t>
      </w:r>
      <w:r>
        <w:rPr>
          <w:rFonts w:hint="eastAsia" w:ascii="Times New Roman Regular" w:hAnsi="Times New Roman Regular" w:eastAsia="仿宋_GB2312" w:cs="Times New Roman Regular"/>
          <w:sz w:val="28"/>
          <w:szCs w:val="28"/>
          <w:lang w:eastAsia="zh-Hans"/>
        </w:rPr>
        <w:t>产教融合</w:t>
      </w:r>
      <w:r>
        <w:rPr>
          <w:rFonts w:hint="eastAsia" w:ascii="Times New Roman Regular" w:hAnsi="Times New Roman Regular" w:eastAsia="仿宋_GB2312" w:cs="Times New Roman Regular"/>
          <w:sz w:val="28"/>
          <w:szCs w:val="28"/>
        </w:rPr>
        <w:t>资源，通过“网络安全技术与产业发展工业和信息化部重点实验室”、“网络安全实训及虚拟仿真资源”、“网络安全专家智库等创新资源平台”等赋能高校建设一流网络安全学科专业和产业学院，面向行业培养新网安人才探索新模式，特制定此申报指南。</w:t>
      </w:r>
    </w:p>
    <w:p>
      <w:pPr>
        <w:pStyle w:val="2"/>
        <w:snapToGrid w:val="0"/>
        <w:spacing w:after="0" w:line="560" w:lineRule="exact"/>
        <w:ind w:firstLine="560" w:firstLineChars="200"/>
        <w:rPr>
          <w:rFonts w:ascii="黑体" w:hAnsi="黑体" w:eastAsia="黑体" w:cs="黑体"/>
          <w:sz w:val="28"/>
          <w:szCs w:val="36"/>
        </w:rPr>
      </w:pPr>
      <w:r>
        <w:rPr>
          <w:rFonts w:hint="eastAsia" w:ascii="黑体" w:hAnsi="黑体" w:eastAsia="黑体" w:cs="黑体"/>
          <w:sz w:val="28"/>
          <w:szCs w:val="36"/>
          <w:lang w:eastAsia="zh-Hans"/>
        </w:rPr>
        <w:t>二、目的</w:t>
      </w:r>
      <w:r>
        <w:rPr>
          <w:rFonts w:hint="eastAsia" w:ascii="黑体" w:hAnsi="黑体" w:eastAsia="黑体" w:cs="黑体"/>
          <w:sz w:val="28"/>
          <w:szCs w:val="36"/>
        </w:rPr>
        <w:t>意义</w:t>
      </w:r>
    </w:p>
    <w:p>
      <w:pPr>
        <w:pStyle w:val="9"/>
        <w:widowControl/>
        <w:shd w:val="clear" w:color="auto" w:fill="FFFFFF"/>
        <w:snapToGrid w:val="0"/>
        <w:spacing w:beforeAutospacing="0" w:afterAutospacing="0" w:line="560" w:lineRule="exact"/>
        <w:ind w:firstLine="560" w:firstLineChars="200"/>
        <w:jc w:val="both"/>
        <w:rPr>
          <w:rFonts w:hint="eastAsia" w:ascii="Times New Roman Regular" w:hAnsi="Times New Roman Regular" w:eastAsia="仿宋_GB2312" w:cs="Times New Roman Regular"/>
          <w:kern w:val="2"/>
          <w:sz w:val="28"/>
          <w:szCs w:val="28"/>
        </w:rPr>
      </w:pPr>
      <w:r>
        <w:rPr>
          <w:rFonts w:hint="eastAsia" w:ascii="楷体_GB2312" w:hAnsi="楷体_GB2312" w:eastAsia="楷体_GB2312" w:cs="楷体_GB2312"/>
          <w:kern w:val="2"/>
          <w:sz w:val="28"/>
          <w:szCs w:val="28"/>
        </w:rPr>
        <w:t>（一）</w:t>
      </w:r>
      <w:r>
        <w:rPr>
          <w:rFonts w:hint="eastAsia" w:ascii="楷体_GB2312" w:hAnsi="楷体_GB2312" w:eastAsia="楷体_GB2312" w:cs="楷体_GB2312"/>
          <w:kern w:val="2"/>
          <w:sz w:val="28"/>
          <w:szCs w:val="28"/>
          <w:lang w:eastAsia="zh-Hans"/>
        </w:rPr>
        <w:t>产教</w:t>
      </w:r>
      <w:r>
        <w:rPr>
          <w:rFonts w:hint="eastAsia" w:ascii="楷体_GB2312" w:hAnsi="楷体_GB2312" w:eastAsia="楷体_GB2312" w:cs="楷体_GB2312"/>
          <w:kern w:val="2"/>
          <w:sz w:val="28"/>
          <w:szCs w:val="28"/>
        </w:rPr>
        <w:t>协同创新，打造汇聚“新网安”产业资源要素和人才需求的优质载体。</w:t>
      </w:r>
      <w:r>
        <w:rPr>
          <w:rFonts w:hint="eastAsia" w:ascii="Times New Roman Regular" w:hAnsi="Times New Roman Regular" w:eastAsia="仿宋_GB2312" w:cs="Times New Roman Regular"/>
          <w:kern w:val="2"/>
          <w:sz w:val="28"/>
          <w:szCs w:val="28"/>
          <w:lang w:eastAsia="zh-Hans"/>
        </w:rPr>
        <w:t>充分发挥</w:t>
      </w:r>
      <w:r>
        <w:rPr>
          <w:rFonts w:hint="eastAsia" w:ascii="Times New Roman Regular" w:hAnsi="Times New Roman Regular" w:eastAsia="仿宋_GB2312" w:cs="Times New Roman Regular"/>
          <w:kern w:val="2"/>
          <w:sz w:val="28"/>
          <w:szCs w:val="28"/>
        </w:rPr>
        <w:t>“网络安全技术与产业发展工业和信息化部重点实验室”在品牌、模式、产品</w:t>
      </w:r>
      <w:r>
        <w:rPr>
          <w:rFonts w:hint="eastAsia" w:ascii="Times New Roman Regular" w:hAnsi="Times New Roman Regular" w:eastAsia="仿宋_GB2312" w:cs="Times New Roman Regular"/>
          <w:kern w:val="2"/>
          <w:sz w:val="28"/>
          <w:szCs w:val="28"/>
          <w:lang w:eastAsia="zh-Hans"/>
        </w:rPr>
        <w:t>研发</w:t>
      </w:r>
      <w:r>
        <w:rPr>
          <w:rFonts w:hint="eastAsia" w:ascii="Times New Roman Regular" w:hAnsi="Times New Roman Regular" w:eastAsia="仿宋_GB2312" w:cs="Times New Roman Regular"/>
          <w:kern w:val="2"/>
          <w:sz w:val="28"/>
          <w:szCs w:val="28"/>
        </w:rPr>
        <w:t>等</w:t>
      </w:r>
      <w:r>
        <w:rPr>
          <w:rFonts w:hint="eastAsia" w:ascii="Times New Roman Regular" w:hAnsi="Times New Roman Regular" w:eastAsia="仿宋_GB2312" w:cs="Times New Roman Regular"/>
          <w:kern w:val="2"/>
          <w:sz w:val="28"/>
          <w:szCs w:val="28"/>
          <w:lang w:eastAsia="zh-Hans"/>
        </w:rPr>
        <w:t>方面</w:t>
      </w:r>
      <w:r>
        <w:rPr>
          <w:rFonts w:hint="eastAsia" w:ascii="Times New Roman Regular" w:hAnsi="Times New Roman Regular" w:eastAsia="仿宋_GB2312" w:cs="Times New Roman Regular"/>
          <w:kern w:val="2"/>
          <w:sz w:val="28"/>
          <w:szCs w:val="28"/>
        </w:rPr>
        <w:t>优势，融入“新网安”产业在课程、师资、实习实训等领域的个性化资源和需求，加快网络安全学科专业和院系建设</w:t>
      </w:r>
      <w:r>
        <w:rPr>
          <w:rFonts w:ascii="Times New Roman Regular" w:hAnsi="Times New Roman Regular" w:eastAsia="仿宋_GB2312" w:cs="Times New Roman Regular"/>
          <w:kern w:val="2"/>
          <w:sz w:val="28"/>
          <w:szCs w:val="28"/>
        </w:rPr>
        <w:t>，</w:t>
      </w:r>
      <w:r>
        <w:rPr>
          <w:rFonts w:hint="eastAsia" w:ascii="Times New Roman Regular" w:hAnsi="Times New Roman Regular" w:eastAsia="仿宋_GB2312" w:cs="Times New Roman Regular"/>
          <w:kern w:val="2"/>
          <w:sz w:val="28"/>
          <w:szCs w:val="28"/>
        </w:rPr>
        <w:t>创新网络安全人才培养机制</w:t>
      </w:r>
      <w:r>
        <w:rPr>
          <w:rFonts w:ascii="Times New Roman Regular" w:hAnsi="Times New Roman Regular" w:eastAsia="仿宋_GB2312" w:cs="Times New Roman Regular"/>
          <w:kern w:val="2"/>
          <w:sz w:val="28"/>
          <w:szCs w:val="28"/>
        </w:rPr>
        <w:t>，</w:t>
      </w:r>
      <w:r>
        <w:rPr>
          <w:rFonts w:hint="eastAsia" w:ascii="Times New Roman Regular" w:hAnsi="Times New Roman Regular" w:eastAsia="仿宋_GB2312" w:cs="Times New Roman Regular"/>
          <w:kern w:val="2"/>
          <w:sz w:val="28"/>
          <w:szCs w:val="28"/>
        </w:rPr>
        <w:t>推动高等院校和行业企业合作育人与协同创新</w:t>
      </w:r>
      <w:r>
        <w:rPr>
          <w:rFonts w:ascii="Times New Roman Regular" w:hAnsi="Times New Roman Regular" w:eastAsia="仿宋_GB2312" w:cs="Times New Roman Regular"/>
          <w:kern w:val="2"/>
          <w:sz w:val="28"/>
          <w:szCs w:val="28"/>
        </w:rPr>
        <w:t>，</w:t>
      </w:r>
      <w:r>
        <w:rPr>
          <w:rFonts w:hint="eastAsia" w:ascii="Times New Roman Regular" w:hAnsi="Times New Roman Regular" w:eastAsia="仿宋_GB2312" w:cs="Times New Roman Regular"/>
          <w:kern w:val="2"/>
          <w:sz w:val="28"/>
          <w:szCs w:val="28"/>
        </w:rPr>
        <w:t>完善网络安全人才培养配套措施。</w:t>
      </w:r>
    </w:p>
    <w:p>
      <w:pPr>
        <w:pStyle w:val="9"/>
        <w:widowControl/>
        <w:shd w:val="clear" w:color="auto" w:fill="FFFFFF"/>
        <w:snapToGrid w:val="0"/>
        <w:spacing w:beforeAutospacing="0" w:afterAutospacing="0" w:line="560" w:lineRule="exact"/>
        <w:ind w:firstLine="560" w:firstLineChars="200"/>
        <w:jc w:val="both"/>
        <w:rPr>
          <w:rFonts w:hint="eastAsia" w:ascii="Times New Roman Regular" w:hAnsi="Times New Roman Regular" w:eastAsia="仿宋_GB2312" w:cs="Times New Roman Regular"/>
          <w:kern w:val="2"/>
          <w:sz w:val="28"/>
          <w:szCs w:val="28"/>
        </w:rPr>
      </w:pPr>
      <w:r>
        <w:rPr>
          <w:rFonts w:hint="eastAsia" w:ascii="楷体_GB2312" w:hAnsi="楷体_GB2312" w:eastAsia="楷体_GB2312" w:cs="楷体_GB2312"/>
          <w:kern w:val="2"/>
          <w:sz w:val="28"/>
          <w:szCs w:val="28"/>
        </w:rPr>
        <w:t>（二）汇聚资源服务产业创新发展，围绕“新网安”</w:t>
      </w:r>
      <w:r>
        <w:rPr>
          <w:rFonts w:hint="eastAsia" w:ascii="楷体_GB2312" w:hAnsi="楷体_GB2312" w:eastAsia="楷体_GB2312" w:cs="楷体_GB2312"/>
          <w:kern w:val="2"/>
          <w:sz w:val="28"/>
          <w:szCs w:val="28"/>
          <w:lang w:eastAsia="zh-Hans"/>
        </w:rPr>
        <w:t>在</w:t>
      </w:r>
      <w:r>
        <w:rPr>
          <w:rFonts w:hint="eastAsia" w:ascii="楷体_GB2312" w:hAnsi="楷体_GB2312" w:eastAsia="楷体_GB2312" w:cs="楷体_GB2312"/>
          <w:kern w:val="2"/>
          <w:sz w:val="28"/>
          <w:szCs w:val="28"/>
        </w:rPr>
        <w:t>重点产业领域开展合作。</w:t>
      </w:r>
      <w:r>
        <w:rPr>
          <w:rFonts w:hint="eastAsia" w:ascii="Times New Roman Regular" w:hAnsi="Times New Roman Regular" w:eastAsia="仿宋_GB2312" w:cs="Times New Roman Regular"/>
          <w:kern w:val="2"/>
          <w:sz w:val="28"/>
          <w:szCs w:val="28"/>
        </w:rPr>
        <w:t>聚焦网络安全新模式、新技术、新业态，围绕新一代信息技术与传统产业深度融合，结合所在地区重点产业链，依托高校特色院系和专业，有层次、有重点地建设网络安全产教融合创新中心，为网络强国建设提供坚强人才和智力支撑。</w:t>
      </w:r>
    </w:p>
    <w:p>
      <w:pPr>
        <w:pStyle w:val="9"/>
        <w:widowControl/>
        <w:shd w:val="clear" w:color="auto" w:fill="FFFFFF"/>
        <w:snapToGrid w:val="0"/>
        <w:spacing w:beforeAutospacing="0" w:afterAutospacing="0" w:line="560" w:lineRule="exact"/>
        <w:ind w:firstLine="560" w:firstLineChars="200"/>
        <w:jc w:val="both"/>
        <w:rPr>
          <w:rFonts w:ascii="仿宋" w:hAnsi="仿宋" w:eastAsia="仿宋" w:cs="仿宋"/>
          <w:sz w:val="28"/>
          <w:szCs w:val="36"/>
        </w:rPr>
      </w:pPr>
      <w:r>
        <w:rPr>
          <w:rFonts w:hint="eastAsia" w:ascii="楷体_GB2312" w:hAnsi="楷体_GB2312" w:eastAsia="楷体_GB2312" w:cs="楷体_GB2312"/>
          <w:kern w:val="2"/>
          <w:sz w:val="28"/>
          <w:szCs w:val="28"/>
        </w:rPr>
        <w:t>（三）坚持问题与价值导向产教深度融合，探索产业人才供给侧和产业需求侧深入对接的新型模式。</w:t>
      </w:r>
      <w:r>
        <w:rPr>
          <w:rFonts w:hint="eastAsia" w:ascii="Times New Roman Regular" w:hAnsi="Times New Roman Regular" w:eastAsia="仿宋_GB2312" w:cs="Times New Roman Regular"/>
          <w:kern w:val="2"/>
          <w:sz w:val="28"/>
          <w:szCs w:val="28"/>
        </w:rPr>
        <w:t>在“网络安全技术与产业发展工业和信息化部重点实验室”、关键产业链重点龙头企业、行业协会等主体的</w:t>
      </w:r>
      <w:r>
        <w:rPr>
          <w:rFonts w:hint="eastAsia" w:ascii="Times New Roman Regular" w:hAnsi="Times New Roman Regular" w:eastAsia="仿宋_GB2312" w:cs="Times New Roman Regular"/>
          <w:kern w:val="2"/>
          <w:sz w:val="28"/>
          <w:szCs w:val="28"/>
          <w:lang w:eastAsia="zh-Hans"/>
        </w:rPr>
        <w:t>协同</w:t>
      </w:r>
      <w:r>
        <w:rPr>
          <w:rFonts w:hint="eastAsia" w:ascii="Times New Roman Regular" w:hAnsi="Times New Roman Regular" w:eastAsia="仿宋_GB2312" w:cs="Times New Roman Regular"/>
          <w:kern w:val="2"/>
          <w:sz w:val="28"/>
          <w:szCs w:val="28"/>
        </w:rPr>
        <w:t>下，围绕网络安全产教融合创新中心建设，帮助高校打通相邻专业间的壁垒，对照申报方向的产业链结构形成专业群，破除人才供给侧和产业需求侧间的“卡点”和“堵点”，形成可复制推广的创新模式。</w:t>
      </w:r>
    </w:p>
    <w:p>
      <w:pPr>
        <w:pStyle w:val="2"/>
        <w:snapToGrid w:val="0"/>
        <w:spacing w:after="0" w:line="560" w:lineRule="exact"/>
        <w:ind w:firstLine="560" w:firstLineChars="200"/>
        <w:rPr>
          <w:rFonts w:ascii="黑体" w:hAnsi="黑体" w:eastAsia="黑体" w:cs="黑体"/>
          <w:sz w:val="28"/>
          <w:szCs w:val="36"/>
        </w:rPr>
      </w:pPr>
      <w:r>
        <w:rPr>
          <w:rFonts w:hint="eastAsia" w:ascii="黑体" w:hAnsi="黑体" w:eastAsia="黑体" w:cs="黑体"/>
          <w:sz w:val="28"/>
          <w:szCs w:val="36"/>
          <w:lang w:eastAsia="zh-Hans"/>
        </w:rPr>
        <w:t>三、建设</w:t>
      </w:r>
      <w:r>
        <w:rPr>
          <w:rFonts w:hint="eastAsia" w:ascii="黑体" w:hAnsi="黑体" w:eastAsia="黑体" w:cs="黑体"/>
          <w:sz w:val="28"/>
          <w:szCs w:val="36"/>
        </w:rPr>
        <w:t>内容</w:t>
      </w:r>
    </w:p>
    <w:p>
      <w:pPr>
        <w:pStyle w:val="9"/>
        <w:widowControl/>
        <w:shd w:val="clear" w:color="auto" w:fill="FFFFFF"/>
        <w:snapToGrid w:val="0"/>
        <w:spacing w:beforeAutospacing="0" w:afterAutospacing="0" w:line="560" w:lineRule="exact"/>
        <w:ind w:firstLine="560" w:firstLineChars="200"/>
        <w:jc w:val="both"/>
        <w:rPr>
          <w:rFonts w:hint="eastAsia" w:ascii="Times New Roman Regular" w:hAnsi="Times New Roman Regular" w:eastAsia="仿宋_GB2312" w:cs="Times New Roman Regular"/>
          <w:kern w:val="2"/>
          <w:sz w:val="28"/>
          <w:szCs w:val="28"/>
        </w:rPr>
      </w:pPr>
      <w:r>
        <w:rPr>
          <w:rFonts w:hint="eastAsia" w:ascii="Times New Roman Regular" w:hAnsi="Times New Roman Regular" w:eastAsia="仿宋_GB2312" w:cs="Times New Roman Regular"/>
          <w:kern w:val="2"/>
          <w:sz w:val="28"/>
          <w:szCs w:val="28"/>
        </w:rPr>
        <w:t>搭建</w:t>
      </w:r>
      <w:r>
        <w:rPr>
          <w:rFonts w:hint="eastAsia" w:ascii="Times New Roman Regular" w:hAnsi="Times New Roman Regular" w:eastAsia="仿宋_GB2312" w:cs="Times New Roman Regular"/>
          <w:kern w:val="2"/>
          <w:sz w:val="28"/>
          <w:szCs w:val="28"/>
          <w:lang w:eastAsia="zh-Hans"/>
        </w:rPr>
        <w:t>网络安全技术与产业发展工业和信息化部重点实验室</w:t>
      </w:r>
      <w:r>
        <w:rPr>
          <w:rFonts w:ascii="Times New Roman Regular" w:hAnsi="Times New Roman Regular" w:eastAsia="仿宋_GB2312" w:cs="Times New Roman Regular"/>
          <w:kern w:val="2"/>
          <w:sz w:val="28"/>
          <w:szCs w:val="28"/>
        </w:rPr>
        <w:t>、</w:t>
      </w:r>
      <w:r>
        <w:rPr>
          <w:rFonts w:hint="eastAsia" w:ascii="Times New Roman Regular" w:hAnsi="Times New Roman Regular" w:eastAsia="仿宋_GB2312" w:cs="Times New Roman Regular"/>
          <w:kern w:val="2"/>
          <w:sz w:val="28"/>
          <w:szCs w:val="28"/>
        </w:rPr>
        <w:t>高校</w:t>
      </w:r>
      <w:r>
        <w:rPr>
          <w:rFonts w:hint="eastAsia" w:ascii="Times New Roman Regular" w:hAnsi="Times New Roman Regular" w:eastAsia="仿宋_GB2312" w:cs="Times New Roman Regular"/>
          <w:kern w:val="2"/>
          <w:sz w:val="28"/>
          <w:szCs w:val="28"/>
          <w:lang w:eastAsia="zh-Hans"/>
        </w:rPr>
        <w:t>和</w:t>
      </w:r>
      <w:r>
        <w:rPr>
          <w:rFonts w:hint="eastAsia" w:ascii="Times New Roman Regular" w:hAnsi="Times New Roman Regular" w:eastAsia="仿宋_GB2312" w:cs="Times New Roman Regular"/>
          <w:kern w:val="2"/>
          <w:sz w:val="28"/>
          <w:szCs w:val="28"/>
        </w:rPr>
        <w:t>企业三方协同创新平台，重点围绕高校在网络安全人才培养过程中的数字基础设施建设能力、核心资源汇聚能力、创新成果转化能力等现实需求，重点建设“</w:t>
      </w:r>
      <w:r>
        <w:rPr>
          <w:rFonts w:hint="eastAsia" w:ascii="Times New Roman Regular" w:hAnsi="Times New Roman Regular" w:eastAsia="仿宋_GB2312" w:cs="Times New Roman Regular"/>
          <w:kern w:val="2"/>
          <w:sz w:val="28"/>
          <w:szCs w:val="28"/>
          <w:lang w:eastAsia="zh-Hans"/>
        </w:rPr>
        <w:t>网络安全技术与产业发展研究中心</w:t>
      </w:r>
      <w:r>
        <w:rPr>
          <w:rFonts w:hint="eastAsia" w:ascii="Times New Roman Regular" w:hAnsi="Times New Roman Regular" w:eastAsia="仿宋_GB2312" w:cs="Times New Roman Regular"/>
          <w:kern w:val="2"/>
          <w:sz w:val="28"/>
          <w:szCs w:val="28"/>
        </w:rPr>
        <w:t>”、“网络安全产教融合实训基地”、“网络安全产教融合创新资源平台”等，将产教融合资源向高校汇聚和赋能，多方携手联合打造出一批具有示范和引领意义的网络安全产教融合协同育人新样本，为国家网络安全产业创新发展贡献力量。</w:t>
      </w:r>
    </w:p>
    <w:p>
      <w:pPr>
        <w:pStyle w:val="9"/>
        <w:widowControl/>
        <w:shd w:val="clear" w:color="auto" w:fill="FFFFFF"/>
        <w:snapToGrid w:val="0"/>
        <w:spacing w:beforeAutospacing="0" w:afterAutospacing="0" w:line="560" w:lineRule="exact"/>
        <w:ind w:firstLine="560" w:firstLineChars="200"/>
        <w:jc w:val="both"/>
        <w:rPr>
          <w:rFonts w:hint="eastAsia" w:ascii="Times New Roman Regular" w:hAnsi="Times New Roman Regular" w:eastAsia="仿宋_GB2312" w:cs="Times New Roman Regular"/>
          <w:kern w:val="2"/>
          <w:sz w:val="28"/>
          <w:szCs w:val="28"/>
        </w:rPr>
      </w:pPr>
      <w:r>
        <w:rPr>
          <w:rFonts w:ascii="楷体_GB2312" w:hAnsi="楷体_GB2312" w:eastAsia="楷体_GB2312" w:cs="楷体_GB2312"/>
          <w:kern w:val="2"/>
          <w:sz w:val="28"/>
          <w:szCs w:val="28"/>
        </w:rPr>
        <w:t>（</w:t>
      </w:r>
      <w:r>
        <w:rPr>
          <w:rFonts w:hint="eastAsia" w:ascii="楷体_GB2312" w:hAnsi="楷体_GB2312" w:eastAsia="楷体_GB2312" w:cs="楷体_GB2312"/>
          <w:kern w:val="2"/>
          <w:sz w:val="28"/>
          <w:szCs w:val="28"/>
          <w:lang w:eastAsia="zh-Hans"/>
        </w:rPr>
        <w:t>一</w:t>
      </w:r>
      <w:r>
        <w:rPr>
          <w:rFonts w:ascii="楷体_GB2312" w:hAnsi="楷体_GB2312" w:eastAsia="楷体_GB2312" w:cs="楷体_GB2312"/>
          <w:kern w:val="2"/>
          <w:sz w:val="28"/>
          <w:szCs w:val="28"/>
        </w:rPr>
        <w:t>）</w:t>
      </w:r>
      <w:r>
        <w:rPr>
          <w:rFonts w:hint="eastAsia" w:ascii="楷体_GB2312" w:hAnsi="楷体_GB2312" w:eastAsia="楷体_GB2312" w:cs="楷体_GB2312"/>
          <w:kern w:val="2"/>
          <w:sz w:val="28"/>
          <w:szCs w:val="28"/>
          <w:lang w:eastAsia="zh-Hans"/>
        </w:rPr>
        <w:t>网络安全技术与产业发展研究中心</w:t>
      </w:r>
      <w:r>
        <w:rPr>
          <w:rFonts w:hint="eastAsia" w:ascii="楷体_GB2312" w:hAnsi="楷体_GB2312" w:eastAsia="楷体_GB2312" w:cs="楷体_GB2312"/>
          <w:kern w:val="2"/>
          <w:sz w:val="28"/>
          <w:szCs w:val="28"/>
        </w:rPr>
        <w:t>。</w:t>
      </w:r>
      <w:r>
        <w:rPr>
          <w:rFonts w:hint="eastAsia" w:ascii="Times New Roman Regular" w:hAnsi="Times New Roman Regular" w:eastAsia="仿宋_GB2312" w:cs="Times New Roman Regular"/>
          <w:kern w:val="2"/>
          <w:sz w:val="28"/>
          <w:szCs w:val="28"/>
        </w:rPr>
        <w:t>依托“网络安全技术与产业发展工业和信息化部重点实验室”，通过升级与建设网络安全产学研深度融合的软硬件实验研究环境等基础设施，研究网络安全工程技术人才培养标准体系和产教融合创新模式、联合开展课题合作、共同发布行业研究报告等，配置资源实现“四链”更有序衔接，助力网络安全专业高水平、高质量发展。</w:t>
      </w:r>
    </w:p>
    <w:p>
      <w:pPr>
        <w:pStyle w:val="9"/>
        <w:widowControl/>
        <w:shd w:val="clear" w:color="auto" w:fill="FFFFFF"/>
        <w:snapToGrid w:val="0"/>
        <w:spacing w:beforeAutospacing="0" w:afterAutospacing="0" w:line="560" w:lineRule="exact"/>
        <w:ind w:firstLine="560" w:firstLineChars="200"/>
        <w:jc w:val="both"/>
        <w:rPr>
          <w:rFonts w:hint="eastAsia" w:ascii="Times New Roman Regular" w:hAnsi="Times New Roman Regular" w:eastAsia="仿宋_GB2312" w:cs="Times New Roman Regular"/>
          <w:kern w:val="2"/>
          <w:sz w:val="28"/>
          <w:szCs w:val="28"/>
        </w:rPr>
      </w:pPr>
      <w:r>
        <w:rPr>
          <w:rFonts w:ascii="楷体_GB2312" w:hAnsi="楷体_GB2312" w:eastAsia="楷体_GB2312" w:cs="楷体_GB2312"/>
          <w:kern w:val="2"/>
          <w:sz w:val="28"/>
          <w:szCs w:val="28"/>
        </w:rPr>
        <w:t>（</w:t>
      </w:r>
      <w:r>
        <w:rPr>
          <w:rFonts w:hint="eastAsia" w:ascii="楷体_GB2312" w:hAnsi="楷体_GB2312" w:eastAsia="楷体_GB2312" w:cs="楷体_GB2312"/>
          <w:kern w:val="2"/>
          <w:sz w:val="28"/>
          <w:szCs w:val="28"/>
          <w:lang w:eastAsia="zh-Hans"/>
        </w:rPr>
        <w:t>二</w:t>
      </w:r>
      <w:r>
        <w:rPr>
          <w:rFonts w:ascii="楷体_GB2312" w:hAnsi="楷体_GB2312" w:eastAsia="楷体_GB2312" w:cs="楷体_GB2312"/>
          <w:kern w:val="2"/>
          <w:sz w:val="28"/>
          <w:szCs w:val="28"/>
        </w:rPr>
        <w:t>）</w:t>
      </w:r>
      <w:r>
        <w:rPr>
          <w:rFonts w:hint="eastAsia" w:ascii="楷体_GB2312" w:hAnsi="楷体_GB2312" w:eastAsia="楷体_GB2312" w:cs="楷体_GB2312"/>
          <w:kern w:val="2"/>
          <w:sz w:val="28"/>
          <w:szCs w:val="28"/>
        </w:rPr>
        <w:t>网络安全产教融合实训基地。</w:t>
      </w:r>
      <w:r>
        <w:rPr>
          <w:rFonts w:hint="eastAsia" w:ascii="Times New Roman Regular" w:hAnsi="Times New Roman Regular" w:eastAsia="仿宋_GB2312" w:cs="Times New Roman Regular"/>
          <w:kern w:val="2"/>
          <w:sz w:val="28"/>
          <w:szCs w:val="28"/>
        </w:rPr>
        <w:t>围绕探索解决网络安全相关专业“知识与实践脱节”的两张皮矛盾，</w:t>
      </w:r>
      <w:r>
        <w:rPr>
          <w:rFonts w:hint="eastAsia" w:ascii="Times New Roman Regular" w:hAnsi="Times New Roman Regular" w:eastAsia="仿宋_GB2312" w:cs="Times New Roman Regular"/>
          <w:kern w:val="2"/>
          <w:sz w:val="28"/>
          <w:szCs w:val="28"/>
          <w:lang w:eastAsia="zh-Hans"/>
        </w:rPr>
        <w:t>依托</w:t>
      </w:r>
      <w:r>
        <w:rPr>
          <w:rFonts w:hint="eastAsia" w:ascii="Times New Roman Regular" w:hAnsi="Times New Roman Regular" w:eastAsia="仿宋_GB2312" w:cs="Times New Roman Regular"/>
          <w:kern w:val="2"/>
          <w:sz w:val="28"/>
          <w:szCs w:val="28"/>
        </w:rPr>
        <w:t>网络安全技术与产业发展工业和信息化部重点实验室的资源优势，学校建设符合产业应用场景需要的网络安全产教融合实训平台及虚拟仿真资源库，共同面向产业企业提供项目服务、开展双师型师资培训、学生职业能力认证等，强化实现理论教学与学习、实践实训与认证等一体的实践教学体系。</w:t>
      </w:r>
    </w:p>
    <w:p>
      <w:pPr>
        <w:pStyle w:val="9"/>
        <w:widowControl/>
        <w:shd w:val="clear" w:color="auto" w:fill="FFFFFF"/>
        <w:snapToGrid w:val="0"/>
        <w:spacing w:beforeAutospacing="0" w:afterAutospacing="0" w:line="560" w:lineRule="atLeast"/>
        <w:ind w:firstLine="560" w:firstLineChars="200"/>
        <w:jc w:val="both"/>
        <w:rPr>
          <w:rFonts w:hint="eastAsia" w:ascii="仿宋_GB2312" w:hAnsi="Times New Roman Regular" w:eastAsia="仿宋_GB2312" w:cs="Times New Roman Regular"/>
          <w:sz w:val="32"/>
          <w:szCs w:val="32"/>
        </w:rPr>
      </w:pPr>
      <w:r>
        <w:rPr>
          <w:rFonts w:ascii="楷体_GB2312" w:hAnsi="楷体_GB2312" w:eastAsia="楷体_GB2312" w:cs="楷体_GB2312"/>
          <w:kern w:val="2"/>
          <w:sz w:val="28"/>
          <w:szCs w:val="28"/>
        </w:rPr>
        <w:t>（</w:t>
      </w:r>
      <w:r>
        <w:rPr>
          <w:rFonts w:hint="eastAsia" w:ascii="楷体_GB2312" w:hAnsi="楷体_GB2312" w:eastAsia="楷体_GB2312" w:cs="楷体_GB2312"/>
          <w:kern w:val="2"/>
          <w:sz w:val="28"/>
          <w:szCs w:val="28"/>
          <w:lang w:eastAsia="zh-Hans"/>
        </w:rPr>
        <w:t>三</w:t>
      </w:r>
      <w:r>
        <w:rPr>
          <w:rFonts w:ascii="楷体_GB2312" w:hAnsi="楷体_GB2312" w:eastAsia="楷体_GB2312" w:cs="楷体_GB2312"/>
          <w:kern w:val="2"/>
          <w:sz w:val="28"/>
          <w:szCs w:val="28"/>
        </w:rPr>
        <w:t>）</w:t>
      </w:r>
      <w:r>
        <w:rPr>
          <w:rFonts w:hint="eastAsia" w:ascii="楷体_GB2312" w:hAnsi="楷体_GB2312" w:eastAsia="楷体_GB2312" w:cs="楷体_GB2312"/>
          <w:kern w:val="2"/>
          <w:sz w:val="28"/>
          <w:szCs w:val="28"/>
        </w:rPr>
        <w:t>网络安全产教融合创新资源平台。</w:t>
      </w:r>
      <w:r>
        <w:rPr>
          <w:rFonts w:hint="eastAsia" w:ascii="Times New Roman Regular" w:hAnsi="Times New Roman Regular" w:eastAsia="仿宋_GB2312" w:cs="Times New Roman Regular"/>
          <w:kern w:val="2"/>
          <w:sz w:val="28"/>
          <w:szCs w:val="28"/>
        </w:rPr>
        <w:t>扎实推进高校国家网络安全与数据安全宣传教育主阵地示范品牌等工作，建设具有竞争优势鲜明、行业引领力突出、影响力强的</w:t>
      </w:r>
      <w:r>
        <w:rPr>
          <w:rFonts w:hint="eastAsia" w:ascii="Times New Roman Regular" w:hAnsi="Times New Roman Regular" w:eastAsia="仿宋_GB2312" w:cs="Times New Roman Regular"/>
          <w:kern w:val="2"/>
          <w:sz w:val="28"/>
          <w:szCs w:val="28"/>
          <w:lang w:eastAsia="zh-Hans"/>
        </w:rPr>
        <w:t>网络安全</w:t>
      </w:r>
      <w:r>
        <w:rPr>
          <w:rFonts w:hint="eastAsia" w:ascii="Times New Roman Regular" w:hAnsi="Times New Roman Regular" w:eastAsia="仿宋_GB2312" w:cs="Times New Roman Regular"/>
          <w:kern w:val="2"/>
          <w:sz w:val="28"/>
          <w:szCs w:val="28"/>
        </w:rPr>
        <w:t>产教融合合作成果数字展示中心展现校企协同创新、科教融汇、产教融合成果，</w:t>
      </w:r>
      <w:bookmarkStart w:id="0" w:name="_Hlk133505386"/>
      <w:r>
        <w:rPr>
          <w:rFonts w:hint="eastAsia" w:ascii="Times New Roman Regular" w:hAnsi="Times New Roman Regular" w:eastAsia="仿宋_GB2312" w:cs="Times New Roman Regular"/>
          <w:kern w:val="2"/>
          <w:sz w:val="28"/>
          <w:szCs w:val="28"/>
        </w:rPr>
        <w:t>完善网络安全人才供需平台</w:t>
      </w:r>
      <w:bookmarkEnd w:id="0"/>
      <w:bookmarkStart w:id="1" w:name="_Hlk133505398"/>
      <w:r>
        <w:rPr>
          <w:rFonts w:hint="eastAsia" w:ascii="Times New Roman Regular" w:hAnsi="Times New Roman Regular" w:eastAsia="仿宋_GB2312" w:cs="Times New Roman Regular"/>
          <w:kern w:val="2"/>
          <w:sz w:val="28"/>
          <w:szCs w:val="28"/>
        </w:rPr>
        <w:t>更好的助力“稳就业”大局，建立行业专家智库平台</w:t>
      </w:r>
      <w:bookmarkEnd w:id="1"/>
      <w:r>
        <w:rPr>
          <w:rFonts w:hint="eastAsia" w:ascii="Times New Roman Regular" w:hAnsi="Times New Roman Regular" w:eastAsia="仿宋_GB2312" w:cs="Times New Roman Regular"/>
          <w:kern w:val="2"/>
          <w:sz w:val="28"/>
          <w:szCs w:val="28"/>
        </w:rPr>
        <w:t>更好的开展校内和社会服务，汇聚各方资源构建“新网安”人才能力培养、成果转移转化、产业健康发展的良性生态，探索确立“新网安”产教融合的中国方案。</w:t>
      </w:r>
    </w:p>
    <w:p>
      <w:pPr>
        <w:pStyle w:val="2"/>
        <w:snapToGrid w:val="0"/>
        <w:spacing w:after="0" w:line="560" w:lineRule="atLeast"/>
        <w:ind w:firstLine="560" w:firstLineChars="200"/>
        <w:rPr>
          <w:rFonts w:ascii="黑体" w:hAnsi="黑体" w:eastAsia="黑体" w:cs="黑体"/>
          <w:sz w:val="28"/>
          <w:szCs w:val="36"/>
        </w:rPr>
      </w:pPr>
      <w:r>
        <w:rPr>
          <w:rFonts w:hint="eastAsia" w:ascii="黑体" w:hAnsi="黑体" w:eastAsia="黑体" w:cs="黑体"/>
          <w:sz w:val="28"/>
          <w:szCs w:val="36"/>
          <w:lang w:eastAsia="zh-Hans"/>
        </w:rPr>
        <w:t>四、</w:t>
      </w:r>
      <w:r>
        <w:rPr>
          <w:rFonts w:hint="eastAsia" w:ascii="黑体" w:hAnsi="黑体" w:eastAsia="黑体" w:cs="黑体"/>
          <w:sz w:val="28"/>
          <w:szCs w:val="36"/>
        </w:rPr>
        <w:t>特色化网络安全产教融合创新中心项目申报表</w:t>
      </w:r>
    </w:p>
    <w:p>
      <w:pPr>
        <w:snapToGrid w:val="0"/>
        <w:spacing w:line="560" w:lineRule="atLeast"/>
        <w:rPr>
          <w:rFonts w:ascii="楷体_GB2312" w:hAnsi="楷体_GB2312" w:eastAsia="楷体_GB2312" w:cs="楷体_GB2312"/>
          <w:sz w:val="28"/>
          <w:szCs w:val="36"/>
        </w:rPr>
      </w:pPr>
      <w:r>
        <w:rPr>
          <w:rFonts w:hint="eastAsia" w:ascii="楷体_GB2312" w:hAnsi="楷体_GB2312" w:eastAsia="楷体_GB2312" w:cs="楷体_GB2312"/>
          <w:sz w:val="28"/>
          <w:szCs w:val="36"/>
        </w:rPr>
        <w:t>（一）基本情况</w:t>
      </w:r>
    </w:p>
    <w:p>
      <w:pPr>
        <w:pStyle w:val="2"/>
      </w:pPr>
    </w:p>
    <w:tbl>
      <w:tblPr>
        <w:tblStyle w:val="10"/>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6248"/>
      </w:tblGrid>
      <w:tr>
        <w:trPr>
          <w:trHeight w:val="425" w:hRule="atLeast"/>
          <w:jc w:val="center"/>
        </w:trPr>
        <w:tc>
          <w:tcPr>
            <w:tcW w:w="2238" w:type="dxa"/>
            <w:noWrap/>
            <w:tcMar>
              <w:left w:w="28" w:type="dxa"/>
              <w:right w:w="28" w:type="dxa"/>
            </w:tcMar>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学校全称</w:t>
            </w:r>
          </w:p>
        </w:tc>
        <w:tc>
          <w:tcPr>
            <w:tcW w:w="6248" w:type="dxa"/>
            <w:noWrap/>
            <w:tcMar>
              <w:left w:w="28" w:type="dxa"/>
              <w:right w:w="28" w:type="dxa"/>
            </w:tcMar>
            <w:vAlign w:val="center"/>
          </w:tcPr>
          <w:p>
            <w:pPr>
              <w:adjustRightInd w:val="0"/>
              <w:snapToGrid w:val="0"/>
              <w:jc w:val="center"/>
              <w:rPr>
                <w:rFonts w:ascii="仿宋" w:hAnsi="仿宋" w:eastAsia="仿宋" w:cs="仿宋"/>
                <w:kern w:val="0"/>
                <w:sz w:val="24"/>
              </w:rPr>
            </w:pPr>
          </w:p>
          <w:p>
            <w:pPr>
              <w:adjustRightInd w:val="0"/>
              <w:snapToGrid w:val="0"/>
              <w:jc w:val="center"/>
              <w:rPr>
                <w:rFonts w:ascii="仿宋" w:hAnsi="仿宋" w:eastAsia="仿宋" w:cs="仿宋"/>
                <w:kern w:val="0"/>
                <w:sz w:val="24"/>
              </w:rPr>
            </w:pPr>
          </w:p>
        </w:tc>
      </w:tr>
      <w:tr>
        <w:trPr>
          <w:trHeight w:val="4620" w:hRule="atLeast"/>
          <w:jc w:val="center"/>
        </w:trPr>
        <w:tc>
          <w:tcPr>
            <w:tcW w:w="2238" w:type="dxa"/>
            <w:noWrap/>
            <w:tcMar>
              <w:left w:w="28" w:type="dxa"/>
              <w:right w:w="28" w:type="dxa"/>
            </w:tcMar>
            <w:vAlign w:val="center"/>
          </w:tcPr>
          <w:p>
            <w:pPr>
              <w:adjustRightInd w:val="0"/>
              <w:snapToGrid w:val="0"/>
              <w:jc w:val="center"/>
              <w:rPr>
                <w:rFonts w:ascii="仿宋" w:hAnsi="仿宋" w:eastAsia="仿宋" w:cs="仿宋"/>
                <w:kern w:val="0"/>
                <w:sz w:val="24"/>
              </w:rPr>
            </w:pPr>
            <w:r>
              <w:rPr>
                <w:rFonts w:hint="eastAsia" w:ascii="仿宋" w:hAnsi="仿宋" w:eastAsia="仿宋" w:cs="仿宋"/>
                <w:kern w:val="0"/>
                <w:sz w:val="24"/>
              </w:rPr>
              <w:t>学校介绍</w:t>
            </w:r>
          </w:p>
        </w:tc>
        <w:tc>
          <w:tcPr>
            <w:tcW w:w="6248" w:type="dxa"/>
            <w:noWrap/>
            <w:tcMar>
              <w:left w:w="28" w:type="dxa"/>
              <w:right w:w="28" w:type="dxa"/>
            </w:tcMar>
            <w:vAlign w:val="center"/>
          </w:tcPr>
          <w:p>
            <w:pPr>
              <w:adjustRightInd w:val="0"/>
              <w:snapToGrid w:val="0"/>
              <w:rPr>
                <w:rFonts w:ascii="仿宋" w:hAnsi="仿宋" w:eastAsia="仿宋" w:cs="仿宋"/>
                <w:kern w:val="0"/>
                <w:sz w:val="24"/>
              </w:rPr>
            </w:pPr>
          </w:p>
        </w:tc>
      </w:tr>
    </w:tbl>
    <w:p>
      <w:pPr>
        <w:rPr>
          <w:rFonts w:ascii="楷体_GB2312" w:hAnsi="楷体_GB2312" w:eastAsia="楷体_GB2312" w:cs="楷体_GB2312"/>
          <w:sz w:val="28"/>
          <w:szCs w:val="36"/>
        </w:rPr>
      </w:pPr>
      <w:r>
        <w:rPr>
          <w:rFonts w:hint="eastAsia" w:ascii="楷体_GB2312" w:hAnsi="楷体_GB2312" w:eastAsia="楷体_GB2312" w:cs="楷体_GB2312"/>
          <w:sz w:val="28"/>
          <w:szCs w:val="36"/>
        </w:rPr>
        <w:t>（二）建设基础</w:t>
      </w:r>
    </w:p>
    <w:tbl>
      <w:tblPr>
        <w:tblStyle w:val="10"/>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3"/>
      </w:tblGrid>
      <w:tr>
        <w:trPr>
          <w:trHeight w:val="5244" w:hRule="atLeast"/>
          <w:jc w:val="center"/>
        </w:trPr>
        <w:tc>
          <w:tcPr>
            <w:tcW w:w="8313" w:type="dxa"/>
            <w:noWrap/>
          </w:tcPr>
          <w:p>
            <w:pPr>
              <w:adjustRightInd w:val="0"/>
              <w:snapToGrid w:val="0"/>
              <w:rPr>
                <w:rFonts w:ascii="仿宋" w:hAnsi="仿宋" w:eastAsia="仿宋" w:cs="仿宋"/>
                <w:kern w:val="0"/>
                <w:sz w:val="24"/>
              </w:rPr>
            </w:pPr>
            <w:r>
              <w:rPr>
                <w:rFonts w:hint="eastAsia" w:ascii="仿宋" w:hAnsi="仿宋" w:eastAsia="仿宋" w:cs="仿宋"/>
                <w:b/>
                <w:kern w:val="0"/>
                <w:sz w:val="24"/>
              </w:rPr>
              <w:t>（</w:t>
            </w:r>
            <w:r>
              <w:rPr>
                <w:rFonts w:hint="eastAsia" w:ascii="仿宋" w:hAnsi="仿宋" w:eastAsia="仿宋" w:cs="仿宋"/>
                <w:b/>
                <w:color w:val="BFBFBF" w:themeColor="background1" w:themeShade="BF"/>
                <w:kern w:val="0"/>
                <w:sz w:val="24"/>
              </w:rPr>
              <w:t>包括网络安全人才培养、实训条件、科研能力、合作经验、学生就业等方面的基础</w:t>
            </w:r>
            <w:r>
              <w:rPr>
                <w:rFonts w:hint="eastAsia" w:ascii="仿宋" w:hAnsi="仿宋" w:eastAsia="仿宋" w:cs="仿宋"/>
                <w:b/>
                <w:kern w:val="0"/>
                <w:sz w:val="24"/>
              </w:rPr>
              <w:t>）</w:t>
            </w:r>
          </w:p>
          <w:p>
            <w:pPr>
              <w:adjustRightInd w:val="0"/>
              <w:snapToGrid w:val="0"/>
              <w:rPr>
                <w:rFonts w:ascii="仿宋" w:hAnsi="仿宋" w:eastAsia="仿宋" w:cs="仿宋"/>
                <w:kern w:val="0"/>
                <w:sz w:val="24"/>
              </w:rPr>
            </w:pPr>
          </w:p>
          <w:p>
            <w:pPr>
              <w:adjustRightInd w:val="0"/>
              <w:snapToGrid w:val="0"/>
              <w:rPr>
                <w:rFonts w:ascii="仿宋" w:hAnsi="仿宋" w:eastAsia="仿宋" w:cs="仿宋"/>
                <w:kern w:val="0"/>
                <w:sz w:val="24"/>
              </w:rPr>
            </w:pPr>
          </w:p>
          <w:p>
            <w:pPr>
              <w:adjustRightInd w:val="0"/>
              <w:snapToGrid w:val="0"/>
              <w:rPr>
                <w:rFonts w:ascii="仿宋" w:hAnsi="仿宋" w:eastAsia="仿宋" w:cs="仿宋"/>
                <w:kern w:val="0"/>
                <w:sz w:val="24"/>
              </w:rPr>
            </w:pPr>
          </w:p>
          <w:p>
            <w:pPr>
              <w:adjustRightInd w:val="0"/>
              <w:snapToGrid w:val="0"/>
              <w:rPr>
                <w:rFonts w:ascii="仿宋" w:hAnsi="仿宋" w:eastAsia="仿宋" w:cs="仿宋"/>
                <w:kern w:val="0"/>
                <w:sz w:val="24"/>
              </w:rPr>
            </w:pPr>
          </w:p>
          <w:p>
            <w:pPr>
              <w:adjustRightInd w:val="0"/>
              <w:snapToGrid w:val="0"/>
              <w:rPr>
                <w:rFonts w:ascii="仿宋" w:hAnsi="仿宋" w:eastAsia="仿宋" w:cs="仿宋"/>
                <w:kern w:val="0"/>
                <w:sz w:val="24"/>
              </w:rPr>
            </w:pPr>
          </w:p>
          <w:p>
            <w:pPr>
              <w:adjustRightInd w:val="0"/>
              <w:snapToGrid w:val="0"/>
              <w:rPr>
                <w:rFonts w:ascii="仿宋" w:hAnsi="仿宋" w:eastAsia="仿宋" w:cs="仿宋"/>
                <w:kern w:val="0"/>
                <w:sz w:val="24"/>
              </w:rPr>
            </w:pPr>
          </w:p>
        </w:tc>
      </w:tr>
    </w:tbl>
    <w:p>
      <w:pPr>
        <w:rPr>
          <w:rFonts w:ascii="黑体" w:hAnsi="黑体" w:eastAsia="黑体" w:cs="黑体"/>
          <w:sz w:val="28"/>
          <w:szCs w:val="36"/>
        </w:rPr>
      </w:pPr>
      <w:r>
        <w:rPr>
          <w:rFonts w:hint="eastAsia" w:ascii="楷体_GB2312" w:hAnsi="楷体_GB2312" w:eastAsia="楷体_GB2312" w:cs="楷体_GB2312"/>
          <w:sz w:val="28"/>
          <w:szCs w:val="36"/>
        </w:rPr>
        <w:t>（三）建设内容</w:t>
      </w:r>
      <w:r>
        <w:rPr>
          <w:rFonts w:hint="eastAsia" w:ascii="仿宋" w:hAnsi="仿宋" w:eastAsia="仿宋" w:cs="仿宋"/>
          <w:b/>
          <w:bCs/>
          <w:color w:val="BFBFBF" w:themeColor="background1" w:themeShade="BF"/>
          <w:kern w:val="0"/>
          <w:sz w:val="24"/>
        </w:rPr>
        <w:t>（</w:t>
      </w:r>
      <w:r>
        <w:rPr>
          <w:rFonts w:ascii="仿宋" w:hAnsi="仿宋" w:eastAsia="仿宋" w:cs="仿宋"/>
          <w:b/>
          <w:bCs/>
          <w:color w:val="BFBFBF" w:themeColor="background1" w:themeShade="BF"/>
          <w:kern w:val="0"/>
          <w:sz w:val="24"/>
        </w:rPr>
        <w:t>如空格不够,可附页</w:t>
      </w:r>
      <w:r>
        <w:rPr>
          <w:rFonts w:hint="eastAsia" w:ascii="仿宋" w:hAnsi="仿宋" w:eastAsia="仿宋" w:cs="仿宋"/>
          <w:b/>
          <w:bCs/>
          <w:color w:val="BFBFBF" w:themeColor="background1" w:themeShade="BF"/>
          <w:kern w:val="0"/>
          <w:sz w:val="24"/>
        </w:rPr>
        <w:t>）</w:t>
      </w:r>
    </w:p>
    <w:tbl>
      <w:tblPr>
        <w:tblStyle w:val="10"/>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3"/>
      </w:tblGrid>
      <w:tr>
        <w:trPr>
          <w:trHeight w:val="6407" w:hRule="atLeast"/>
          <w:jc w:val="center"/>
        </w:trPr>
        <w:tc>
          <w:tcPr>
            <w:tcW w:w="8383" w:type="dxa"/>
            <w:noWrap/>
          </w:tcPr>
          <w:p>
            <w:pPr>
              <w:adjustRightInd w:val="0"/>
              <w:snapToGrid w:val="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
                <w:bCs/>
                <w:color w:val="BFBFBF" w:themeColor="background1" w:themeShade="BF"/>
                <w:kern w:val="0"/>
                <w:sz w:val="24"/>
              </w:rPr>
              <w:t>重点围绕创新中心的三大建设任务</w:t>
            </w:r>
            <w:r>
              <w:rPr>
                <w:rFonts w:hint="eastAsia" w:ascii="仿宋" w:hAnsi="仿宋" w:eastAsia="仿宋" w:cs="仿宋"/>
                <w:kern w:val="0"/>
                <w:sz w:val="24"/>
              </w:rPr>
              <w:t>）</w:t>
            </w:r>
          </w:p>
          <w:p>
            <w:pPr>
              <w:adjustRightInd w:val="0"/>
              <w:snapToGrid w:val="0"/>
              <w:jc w:val="left"/>
              <w:rPr>
                <w:rFonts w:ascii="仿宋" w:hAnsi="仿宋" w:eastAsia="仿宋" w:cs="仿宋"/>
                <w:kern w:val="0"/>
                <w:sz w:val="24"/>
              </w:rPr>
            </w:pPr>
          </w:p>
          <w:p>
            <w:pPr>
              <w:adjustRightInd w:val="0"/>
              <w:snapToGrid w:val="0"/>
              <w:rPr>
                <w:rFonts w:ascii="仿宋" w:hAnsi="仿宋" w:eastAsia="仿宋" w:cs="仿宋"/>
                <w:sz w:val="24"/>
              </w:rPr>
            </w:pPr>
          </w:p>
          <w:p>
            <w:pPr>
              <w:adjustRightInd w:val="0"/>
              <w:snapToGrid w:val="0"/>
              <w:rPr>
                <w:rFonts w:ascii="仿宋" w:hAnsi="仿宋" w:eastAsia="仿宋" w:cs="仿宋"/>
                <w:sz w:val="24"/>
              </w:rPr>
            </w:pPr>
          </w:p>
          <w:p>
            <w:pPr>
              <w:adjustRightInd w:val="0"/>
              <w:snapToGrid w:val="0"/>
              <w:rPr>
                <w:rFonts w:ascii="仿宋" w:hAnsi="仿宋" w:eastAsia="仿宋" w:cs="仿宋"/>
                <w:b/>
                <w:kern w:val="0"/>
                <w:sz w:val="24"/>
              </w:rPr>
            </w:pPr>
          </w:p>
          <w:p>
            <w:pPr>
              <w:adjustRightInd w:val="0"/>
              <w:snapToGrid w:val="0"/>
              <w:rPr>
                <w:rFonts w:ascii="仿宋" w:hAnsi="仿宋" w:eastAsia="仿宋" w:cs="仿宋"/>
                <w:b/>
                <w:kern w:val="0"/>
                <w:sz w:val="24"/>
              </w:rPr>
            </w:pPr>
          </w:p>
          <w:p>
            <w:pPr>
              <w:adjustRightInd w:val="0"/>
              <w:snapToGrid w:val="0"/>
              <w:rPr>
                <w:rFonts w:ascii="仿宋" w:hAnsi="仿宋" w:eastAsia="仿宋" w:cs="仿宋"/>
                <w:b/>
                <w:kern w:val="0"/>
                <w:sz w:val="24"/>
              </w:rPr>
            </w:pPr>
          </w:p>
        </w:tc>
      </w:tr>
    </w:tbl>
    <w:p>
      <w:pPr>
        <w:rPr>
          <w:rFonts w:ascii="楷体_GB2312" w:hAnsi="楷体_GB2312" w:eastAsia="楷体_GB2312" w:cs="楷体_GB2312"/>
          <w:sz w:val="28"/>
          <w:szCs w:val="36"/>
        </w:rPr>
      </w:pPr>
      <w:r>
        <w:rPr>
          <w:rFonts w:hint="eastAsia" w:ascii="楷体_GB2312" w:hAnsi="楷体_GB2312" w:eastAsia="楷体_GB2312" w:cs="楷体_GB2312"/>
          <w:sz w:val="28"/>
          <w:szCs w:val="36"/>
        </w:rPr>
        <w:t>（四）发展规划</w:t>
      </w:r>
    </w:p>
    <w:tbl>
      <w:tblPr>
        <w:tblStyle w:val="10"/>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3"/>
      </w:tblGrid>
      <w:tr>
        <w:trPr>
          <w:trHeight w:val="5942" w:hRule="atLeast"/>
          <w:jc w:val="center"/>
        </w:trPr>
        <w:tc>
          <w:tcPr>
            <w:tcW w:w="8383" w:type="dxa"/>
            <w:noWrap/>
          </w:tcPr>
          <w:p>
            <w:pPr>
              <w:adjustRightInd w:val="0"/>
              <w:snapToGrid w:val="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
                <w:bCs/>
                <w:color w:val="BFBFBF" w:themeColor="background1" w:themeShade="BF"/>
                <w:kern w:val="0"/>
                <w:sz w:val="24"/>
              </w:rPr>
              <w:t>未来3年依托此创新中心在人才培养、产教融合、科研等方面的发展规划</w:t>
            </w:r>
            <w:r>
              <w:rPr>
                <w:rFonts w:hint="eastAsia" w:ascii="仿宋" w:hAnsi="仿宋" w:eastAsia="仿宋" w:cs="仿宋"/>
                <w:kern w:val="0"/>
                <w:sz w:val="24"/>
              </w:rPr>
              <w:t>）</w:t>
            </w:r>
          </w:p>
          <w:p>
            <w:pPr>
              <w:adjustRightInd w:val="0"/>
              <w:snapToGrid w:val="0"/>
              <w:jc w:val="left"/>
              <w:rPr>
                <w:rFonts w:ascii="仿宋" w:hAnsi="仿宋" w:eastAsia="仿宋" w:cs="仿宋"/>
                <w:kern w:val="0"/>
                <w:sz w:val="24"/>
              </w:rPr>
            </w:pPr>
          </w:p>
          <w:p>
            <w:pPr>
              <w:adjustRightInd w:val="0"/>
              <w:snapToGrid w:val="0"/>
              <w:rPr>
                <w:rFonts w:ascii="仿宋" w:hAnsi="仿宋" w:eastAsia="仿宋" w:cs="仿宋"/>
                <w:sz w:val="24"/>
              </w:rPr>
            </w:pPr>
          </w:p>
          <w:p>
            <w:pPr>
              <w:adjustRightInd w:val="0"/>
              <w:snapToGrid w:val="0"/>
              <w:rPr>
                <w:rFonts w:ascii="仿宋" w:hAnsi="仿宋" w:eastAsia="仿宋" w:cs="仿宋"/>
                <w:sz w:val="24"/>
              </w:rPr>
            </w:pPr>
          </w:p>
          <w:p>
            <w:pPr>
              <w:adjustRightInd w:val="0"/>
              <w:snapToGrid w:val="0"/>
              <w:rPr>
                <w:rFonts w:ascii="仿宋" w:hAnsi="仿宋" w:eastAsia="仿宋" w:cs="仿宋"/>
                <w:b/>
                <w:kern w:val="0"/>
                <w:sz w:val="24"/>
              </w:rPr>
            </w:pPr>
          </w:p>
          <w:p>
            <w:pPr>
              <w:adjustRightInd w:val="0"/>
              <w:snapToGrid w:val="0"/>
              <w:rPr>
                <w:rFonts w:ascii="仿宋" w:hAnsi="仿宋" w:eastAsia="仿宋" w:cs="仿宋"/>
                <w:b/>
                <w:kern w:val="0"/>
                <w:sz w:val="24"/>
              </w:rPr>
            </w:pPr>
          </w:p>
          <w:p>
            <w:pPr>
              <w:adjustRightInd w:val="0"/>
              <w:snapToGrid w:val="0"/>
              <w:rPr>
                <w:rFonts w:ascii="仿宋" w:hAnsi="仿宋" w:eastAsia="仿宋" w:cs="仿宋"/>
                <w:b/>
                <w:kern w:val="0"/>
                <w:sz w:val="24"/>
              </w:rPr>
            </w:pPr>
          </w:p>
        </w:tc>
      </w:tr>
    </w:tbl>
    <w:p>
      <w:pPr>
        <w:rPr>
          <w:rFonts w:ascii="仿宋" w:hAnsi="仿宋" w:eastAsia="仿宋" w:cs="仿宋"/>
        </w:rPr>
      </w:pPr>
    </w:p>
    <w:p>
      <w:pPr>
        <w:rPr>
          <w:rFonts w:ascii="楷体_GB2312" w:hAnsi="楷体_GB2312" w:eastAsia="楷体_GB2312" w:cs="楷体_GB2312"/>
          <w:sz w:val="28"/>
          <w:szCs w:val="36"/>
        </w:rPr>
      </w:pPr>
      <w:r>
        <w:rPr>
          <w:rFonts w:hint="eastAsia" w:ascii="楷体_GB2312" w:hAnsi="楷体_GB2312" w:eastAsia="楷体_GB2312" w:cs="楷体_GB2312"/>
          <w:sz w:val="28"/>
          <w:szCs w:val="36"/>
        </w:rPr>
        <w:t>（五）社会成效</w:t>
      </w:r>
    </w:p>
    <w:tbl>
      <w:tblPr>
        <w:tblStyle w:val="10"/>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3"/>
      </w:tblGrid>
      <w:tr>
        <w:trPr>
          <w:trHeight w:val="3438" w:hRule="atLeast"/>
          <w:jc w:val="center"/>
        </w:trPr>
        <w:tc>
          <w:tcPr>
            <w:tcW w:w="8383" w:type="dxa"/>
            <w:noWrap/>
          </w:tcPr>
          <w:p>
            <w:pPr>
              <w:adjustRightInd w:val="0"/>
              <w:snapToGrid w:val="0"/>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b/>
                <w:bCs/>
                <w:color w:val="BFBFBF" w:themeColor="background1" w:themeShade="BF"/>
                <w:kern w:val="0"/>
                <w:sz w:val="24"/>
              </w:rPr>
              <w:t>包括依托此创新中心在访企拓岗、创新创业、学生就业等方面的预期成效</w:t>
            </w:r>
            <w:r>
              <w:rPr>
                <w:rFonts w:hint="eastAsia" w:ascii="仿宋" w:hAnsi="仿宋" w:eastAsia="仿宋" w:cs="仿宋"/>
                <w:kern w:val="0"/>
                <w:sz w:val="24"/>
              </w:rPr>
              <w:t>）</w:t>
            </w:r>
          </w:p>
          <w:p>
            <w:pPr>
              <w:adjustRightInd w:val="0"/>
              <w:snapToGrid w:val="0"/>
              <w:jc w:val="left"/>
              <w:rPr>
                <w:rFonts w:ascii="仿宋" w:hAnsi="仿宋" w:eastAsia="仿宋" w:cs="仿宋"/>
                <w:b/>
                <w:kern w:val="0"/>
                <w:sz w:val="24"/>
              </w:rPr>
            </w:pPr>
          </w:p>
        </w:tc>
      </w:tr>
    </w:tbl>
    <w:p>
      <w:pPr>
        <w:rPr>
          <w:rFonts w:ascii="黑体" w:hAnsi="黑体" w:eastAsia="黑体" w:cs="黑体"/>
          <w:sz w:val="28"/>
          <w:szCs w:val="36"/>
          <w:lang w:eastAsia="zh-Hans"/>
        </w:rPr>
      </w:pPr>
    </w:p>
    <w:p>
      <w:pPr>
        <w:rPr>
          <w:rFonts w:ascii="楷体_GB2312" w:hAnsi="楷体_GB2312" w:eastAsia="楷体_GB2312" w:cs="楷体_GB2312"/>
          <w:sz w:val="28"/>
          <w:szCs w:val="36"/>
        </w:rPr>
      </w:pPr>
      <w:r>
        <w:rPr>
          <w:rFonts w:hint="eastAsia" w:ascii="楷体_GB2312" w:hAnsi="楷体_GB2312" w:eastAsia="楷体_GB2312" w:cs="楷体_GB2312"/>
          <w:sz w:val="28"/>
          <w:szCs w:val="36"/>
        </w:rPr>
        <w:t>（</w:t>
      </w:r>
      <w:r>
        <w:rPr>
          <w:rFonts w:hint="eastAsia" w:ascii="楷体_GB2312" w:hAnsi="楷体_GB2312" w:eastAsia="楷体_GB2312" w:cs="楷体_GB2312"/>
          <w:sz w:val="28"/>
          <w:szCs w:val="36"/>
          <w:lang w:eastAsia="zh-Hans"/>
        </w:rPr>
        <w:t>六</w:t>
      </w:r>
      <w:r>
        <w:rPr>
          <w:rFonts w:hint="eastAsia" w:ascii="楷体_GB2312" w:hAnsi="楷体_GB2312" w:eastAsia="楷体_GB2312" w:cs="楷体_GB2312"/>
          <w:sz w:val="28"/>
          <w:szCs w:val="36"/>
        </w:rPr>
        <w:t>）条件保障</w:t>
      </w:r>
    </w:p>
    <w:tbl>
      <w:tblPr>
        <w:tblStyle w:val="10"/>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7"/>
      </w:tblGrid>
      <w:tr>
        <w:trPr>
          <w:trHeight w:val="3908" w:hRule="atLeast"/>
          <w:jc w:val="center"/>
        </w:trPr>
        <w:tc>
          <w:tcPr>
            <w:tcW w:w="8467" w:type="dxa"/>
            <w:noWrap/>
          </w:tcPr>
          <w:p>
            <w:pPr>
              <w:adjustRightInd w:val="0"/>
              <w:snapToGrid w:val="0"/>
              <w:rPr>
                <w:rFonts w:ascii="仿宋" w:hAnsi="仿宋" w:eastAsia="仿宋" w:cs="仿宋"/>
                <w:b/>
                <w:kern w:val="0"/>
                <w:sz w:val="24"/>
              </w:rPr>
            </w:pPr>
            <w:r>
              <w:rPr>
                <w:rFonts w:hint="eastAsia" w:ascii="仿宋" w:hAnsi="仿宋" w:eastAsia="仿宋" w:cs="仿宋"/>
                <w:b/>
                <w:kern w:val="0"/>
                <w:sz w:val="24"/>
              </w:rPr>
              <w:t>（一）组织保障（</w:t>
            </w:r>
            <w:r>
              <w:rPr>
                <w:rFonts w:hint="eastAsia" w:ascii="仿宋" w:hAnsi="仿宋" w:eastAsia="仿宋" w:cs="仿宋"/>
                <w:b/>
                <w:color w:val="BFBFBF" w:themeColor="background1" w:themeShade="BF"/>
                <w:kern w:val="0"/>
                <w:sz w:val="24"/>
              </w:rPr>
              <w:t>包括明确校级领导、行业专家资源保障计划</w:t>
            </w:r>
            <w:r>
              <w:rPr>
                <w:rFonts w:hint="eastAsia" w:ascii="仿宋" w:hAnsi="仿宋" w:eastAsia="仿宋" w:cs="仿宋"/>
                <w:b/>
                <w:kern w:val="0"/>
                <w:sz w:val="24"/>
              </w:rPr>
              <w:t>）</w:t>
            </w:r>
          </w:p>
          <w:p>
            <w:pPr>
              <w:adjustRightInd w:val="0"/>
              <w:snapToGrid w:val="0"/>
              <w:rPr>
                <w:rFonts w:ascii="仿宋" w:hAnsi="仿宋" w:eastAsia="仿宋" w:cs="仿宋"/>
                <w:b/>
                <w:kern w:val="0"/>
                <w:sz w:val="24"/>
              </w:rPr>
            </w:pPr>
            <w:r>
              <w:rPr>
                <w:rFonts w:hint="eastAsia" w:ascii="仿宋" w:hAnsi="仿宋" w:eastAsia="仿宋" w:cs="仿宋"/>
                <w:b/>
                <w:kern w:val="0"/>
                <w:sz w:val="24"/>
              </w:rPr>
              <w:t>（二）场地保障（</w:t>
            </w:r>
            <w:r>
              <w:rPr>
                <w:rFonts w:hint="eastAsia" w:ascii="仿宋" w:hAnsi="仿宋" w:eastAsia="仿宋" w:cs="仿宋"/>
                <w:b/>
                <w:color w:val="BFBFBF" w:themeColor="background1" w:themeShade="BF"/>
                <w:kern w:val="0"/>
                <w:sz w:val="24"/>
              </w:rPr>
              <w:t>包括明确提供场地面积</w:t>
            </w:r>
            <w:r>
              <w:rPr>
                <w:rFonts w:hint="eastAsia" w:ascii="仿宋" w:hAnsi="仿宋" w:eastAsia="仿宋" w:cs="仿宋"/>
                <w:b/>
                <w:kern w:val="0"/>
                <w:sz w:val="24"/>
              </w:rPr>
              <w:t>）</w:t>
            </w:r>
          </w:p>
          <w:p>
            <w:pPr>
              <w:adjustRightInd w:val="0"/>
              <w:snapToGrid w:val="0"/>
              <w:rPr>
                <w:rFonts w:ascii="仿宋" w:hAnsi="仿宋" w:eastAsia="仿宋" w:cs="仿宋"/>
                <w:b/>
                <w:kern w:val="0"/>
                <w:sz w:val="24"/>
              </w:rPr>
            </w:pPr>
            <w:r>
              <w:rPr>
                <w:rFonts w:hint="eastAsia" w:ascii="仿宋" w:hAnsi="仿宋" w:eastAsia="仿宋" w:cs="仿宋"/>
                <w:b/>
                <w:kern w:val="0"/>
                <w:sz w:val="24"/>
              </w:rPr>
              <w:t>（三）经费保障（</w:t>
            </w:r>
            <w:r>
              <w:rPr>
                <w:rFonts w:hint="eastAsia" w:ascii="仿宋" w:hAnsi="仿宋" w:eastAsia="仿宋" w:cs="仿宋"/>
                <w:b/>
                <w:color w:val="BFBFBF" w:themeColor="background1" w:themeShade="BF"/>
                <w:kern w:val="0"/>
                <w:sz w:val="24"/>
              </w:rPr>
              <w:t>包括明确建设内容及经费保障额度</w:t>
            </w:r>
            <w:r>
              <w:rPr>
                <w:rFonts w:hint="eastAsia" w:ascii="仿宋" w:hAnsi="仿宋" w:eastAsia="仿宋" w:cs="仿宋"/>
                <w:b/>
                <w:kern w:val="0"/>
                <w:sz w:val="24"/>
              </w:rPr>
              <w:t>）</w:t>
            </w:r>
          </w:p>
          <w:p>
            <w:pPr>
              <w:adjustRightInd w:val="0"/>
              <w:snapToGrid w:val="0"/>
              <w:jc w:val="left"/>
              <w:rPr>
                <w:rFonts w:ascii="仿宋" w:hAnsi="仿宋" w:eastAsia="仿宋" w:cs="仿宋"/>
                <w:kern w:val="0"/>
                <w:sz w:val="24"/>
              </w:rPr>
            </w:pPr>
          </w:p>
          <w:p>
            <w:pPr>
              <w:adjustRightInd w:val="0"/>
              <w:snapToGrid w:val="0"/>
              <w:jc w:val="left"/>
              <w:rPr>
                <w:rFonts w:ascii="仿宋" w:hAnsi="仿宋" w:eastAsia="仿宋" w:cs="仿宋"/>
                <w:kern w:val="0"/>
                <w:sz w:val="24"/>
              </w:rPr>
            </w:pPr>
          </w:p>
          <w:p>
            <w:pPr>
              <w:adjustRightInd w:val="0"/>
              <w:snapToGrid w:val="0"/>
              <w:jc w:val="left"/>
              <w:rPr>
                <w:rFonts w:ascii="仿宋" w:hAnsi="仿宋" w:eastAsia="仿宋" w:cs="仿宋"/>
                <w:kern w:val="0"/>
                <w:sz w:val="24"/>
              </w:rPr>
            </w:pPr>
          </w:p>
          <w:p>
            <w:pPr>
              <w:adjustRightInd w:val="0"/>
              <w:snapToGrid w:val="0"/>
              <w:rPr>
                <w:rFonts w:ascii="仿宋" w:hAnsi="仿宋" w:eastAsia="仿宋" w:cs="仿宋"/>
              </w:rPr>
            </w:pPr>
          </w:p>
          <w:p>
            <w:pPr>
              <w:adjustRightInd w:val="0"/>
              <w:snapToGrid w:val="0"/>
              <w:jc w:val="left"/>
              <w:rPr>
                <w:rFonts w:ascii="仿宋" w:hAnsi="仿宋" w:eastAsia="仿宋" w:cs="仿宋"/>
                <w:kern w:val="0"/>
                <w:sz w:val="24"/>
              </w:rPr>
            </w:pPr>
          </w:p>
          <w:p>
            <w:pPr>
              <w:adjustRightInd w:val="0"/>
              <w:snapToGrid w:val="0"/>
              <w:jc w:val="left"/>
              <w:rPr>
                <w:rFonts w:ascii="仿宋" w:hAnsi="仿宋" w:eastAsia="仿宋" w:cs="仿宋"/>
                <w:kern w:val="0"/>
                <w:sz w:val="24"/>
              </w:rPr>
            </w:pPr>
          </w:p>
        </w:tc>
      </w:tr>
    </w:tbl>
    <w:p>
      <w:pPr>
        <w:rPr>
          <w:rFonts w:ascii="楷体_GB2312" w:hAnsi="楷体_GB2312" w:eastAsia="楷体_GB2312" w:cs="楷体_GB2312"/>
          <w:sz w:val="28"/>
          <w:szCs w:val="36"/>
        </w:rPr>
      </w:pPr>
      <w:r>
        <w:rPr>
          <w:rFonts w:hint="eastAsia" w:ascii="楷体_GB2312" w:hAnsi="楷体_GB2312" w:eastAsia="楷体_GB2312" w:cs="楷体_GB2312"/>
          <w:sz w:val="28"/>
          <w:szCs w:val="36"/>
        </w:rPr>
        <w:t>（</w:t>
      </w:r>
      <w:r>
        <w:rPr>
          <w:rFonts w:hint="eastAsia" w:ascii="楷体_GB2312" w:hAnsi="楷体_GB2312" w:eastAsia="楷体_GB2312" w:cs="楷体_GB2312"/>
          <w:sz w:val="28"/>
          <w:szCs w:val="36"/>
          <w:lang w:eastAsia="zh-Hans"/>
        </w:rPr>
        <w:t>七</w:t>
      </w:r>
      <w:r>
        <w:rPr>
          <w:rFonts w:hint="eastAsia" w:ascii="楷体_GB2312" w:hAnsi="楷体_GB2312" w:eastAsia="楷体_GB2312" w:cs="楷体_GB2312"/>
          <w:sz w:val="28"/>
          <w:szCs w:val="36"/>
        </w:rPr>
        <w:t>）审核意见</w:t>
      </w:r>
    </w:p>
    <w:tbl>
      <w:tblPr>
        <w:tblStyle w:val="10"/>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4"/>
      </w:tblGrid>
      <w:tr>
        <w:trPr>
          <w:trHeight w:val="3729" w:hRule="atLeast"/>
          <w:jc w:val="center"/>
        </w:trPr>
        <w:tc>
          <w:tcPr>
            <w:tcW w:w="8564" w:type="dxa"/>
            <w:noWrap/>
            <w:vAlign w:val="center"/>
          </w:tcPr>
          <w:p>
            <w:pPr>
              <w:adjustRightInd w:val="0"/>
              <w:snapToGrid w:val="0"/>
              <w:rPr>
                <w:rFonts w:ascii="仿宋" w:hAnsi="仿宋" w:eastAsia="仿宋" w:cs="仿宋"/>
                <w:b/>
                <w:kern w:val="0"/>
                <w:sz w:val="24"/>
              </w:rPr>
            </w:pPr>
            <w:r>
              <w:rPr>
                <w:rFonts w:hint="eastAsia" w:ascii="仿宋" w:hAnsi="仿宋" w:eastAsia="仿宋" w:cs="仿宋"/>
                <w:b/>
                <w:kern w:val="0"/>
                <w:sz w:val="24"/>
              </w:rPr>
              <w:t>学校意见</w:t>
            </w:r>
          </w:p>
          <w:p>
            <w:pPr>
              <w:adjustRightInd w:val="0"/>
              <w:snapToGrid w:val="0"/>
              <w:jc w:val="left"/>
              <w:rPr>
                <w:rFonts w:ascii="仿宋" w:hAnsi="仿宋" w:eastAsia="仿宋" w:cs="仿宋"/>
                <w:kern w:val="0"/>
                <w:sz w:val="24"/>
              </w:rPr>
            </w:pPr>
          </w:p>
          <w:p>
            <w:pPr>
              <w:adjustRightInd w:val="0"/>
              <w:snapToGrid w:val="0"/>
              <w:jc w:val="left"/>
              <w:rPr>
                <w:rFonts w:ascii="仿宋" w:hAnsi="仿宋" w:eastAsia="仿宋" w:cs="仿宋"/>
                <w:kern w:val="0"/>
                <w:sz w:val="24"/>
              </w:rPr>
            </w:pPr>
          </w:p>
          <w:p>
            <w:pPr>
              <w:adjustRightInd w:val="0"/>
              <w:snapToGrid w:val="0"/>
              <w:spacing w:line="360" w:lineRule="auto"/>
              <w:jc w:val="left"/>
              <w:rPr>
                <w:rFonts w:ascii="仿宋" w:hAnsi="仿宋" w:eastAsia="仿宋" w:cs="仿宋"/>
                <w:kern w:val="0"/>
                <w:sz w:val="24"/>
              </w:rPr>
            </w:pPr>
          </w:p>
          <w:p>
            <w:pPr>
              <w:adjustRightInd w:val="0"/>
              <w:snapToGrid w:val="0"/>
              <w:spacing w:line="360" w:lineRule="auto"/>
              <w:ind w:firstLine="1680" w:firstLineChars="700"/>
              <w:jc w:val="left"/>
              <w:rPr>
                <w:rFonts w:ascii="仿宋" w:hAnsi="仿宋" w:eastAsia="仿宋" w:cs="仿宋"/>
                <w:kern w:val="0"/>
                <w:sz w:val="24"/>
              </w:rPr>
            </w:pPr>
          </w:p>
          <w:p>
            <w:pPr>
              <w:adjustRightInd w:val="0"/>
              <w:snapToGrid w:val="0"/>
              <w:spacing w:line="360" w:lineRule="auto"/>
              <w:ind w:firstLine="1680" w:firstLineChars="700"/>
              <w:jc w:val="left"/>
              <w:rPr>
                <w:rFonts w:ascii="仿宋" w:hAnsi="仿宋" w:eastAsia="仿宋" w:cs="仿宋"/>
                <w:kern w:val="0"/>
                <w:sz w:val="24"/>
              </w:rPr>
            </w:pPr>
          </w:p>
          <w:p>
            <w:pPr>
              <w:adjustRightInd w:val="0"/>
              <w:snapToGrid w:val="0"/>
              <w:spacing w:line="360" w:lineRule="auto"/>
              <w:ind w:firstLine="1680" w:firstLineChars="700"/>
              <w:jc w:val="left"/>
              <w:rPr>
                <w:rFonts w:ascii="仿宋" w:hAnsi="仿宋" w:eastAsia="仿宋" w:cs="仿宋"/>
                <w:kern w:val="0"/>
                <w:sz w:val="24"/>
              </w:rPr>
            </w:pPr>
            <w:r>
              <w:rPr>
                <w:rFonts w:hint="eastAsia" w:ascii="仿宋" w:hAnsi="仿宋" w:eastAsia="仿宋" w:cs="仿宋"/>
                <w:kern w:val="0"/>
                <w:sz w:val="24"/>
              </w:rPr>
              <w:t xml:space="preserve"> 校长签名：                     学校（公章）</w:t>
            </w:r>
          </w:p>
          <w:p>
            <w:pPr>
              <w:adjustRightInd w:val="0"/>
              <w:snapToGrid w:val="0"/>
              <w:rPr>
                <w:rFonts w:ascii="仿宋" w:hAnsi="仿宋" w:eastAsia="仿宋" w:cs="仿宋"/>
                <w:sz w:val="24"/>
              </w:rPr>
            </w:pPr>
          </w:p>
          <w:p>
            <w:pPr>
              <w:adjustRightInd w:val="0"/>
              <w:snapToGrid w:val="0"/>
              <w:jc w:val="center"/>
              <w:rPr>
                <w:rFonts w:ascii="仿宋" w:hAnsi="仿宋" w:eastAsia="仿宋" w:cs="仿宋"/>
                <w:kern w:val="0"/>
                <w:sz w:val="24"/>
              </w:rPr>
            </w:pPr>
            <w:r>
              <w:rPr>
                <w:rFonts w:hint="eastAsia" w:ascii="仿宋" w:hAnsi="仿宋" w:eastAsia="仿宋" w:cs="仿宋"/>
                <w:kern w:val="0"/>
                <w:sz w:val="24"/>
              </w:rPr>
              <w:t xml:space="preserve">                            日期：</w:t>
            </w:r>
          </w:p>
        </w:tc>
      </w:tr>
    </w:tbl>
    <w:p>
      <w:pPr>
        <w:spacing w:line="580" w:lineRule="exact"/>
        <w:rPr>
          <w:rFonts w:ascii="仿宋" w:hAnsi="仿宋" w:eastAsia="仿宋" w:cs="仿宋"/>
          <w:b/>
          <w:bCs/>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E5ZWU2NzYwM2I1ZGFmMDExNTAyYjI3N2RjMDcifQ=="/>
  </w:docVars>
  <w:rsids>
    <w:rsidRoot w:val="00CF1040"/>
    <w:rsid w:val="000002C6"/>
    <w:rsid w:val="00002F4C"/>
    <w:rsid w:val="00053040"/>
    <w:rsid w:val="000542B5"/>
    <w:rsid w:val="000615A7"/>
    <w:rsid w:val="00075490"/>
    <w:rsid w:val="000842CE"/>
    <w:rsid w:val="000851C9"/>
    <w:rsid w:val="000A367E"/>
    <w:rsid w:val="000D331B"/>
    <w:rsid w:val="000F060A"/>
    <w:rsid w:val="000F7B07"/>
    <w:rsid w:val="001133FE"/>
    <w:rsid w:val="00114333"/>
    <w:rsid w:val="00131B38"/>
    <w:rsid w:val="00153F1E"/>
    <w:rsid w:val="0016105C"/>
    <w:rsid w:val="0016492A"/>
    <w:rsid w:val="001926D1"/>
    <w:rsid w:val="001A5A28"/>
    <w:rsid w:val="001B03AF"/>
    <w:rsid w:val="001C7717"/>
    <w:rsid w:val="002478AE"/>
    <w:rsid w:val="0027355E"/>
    <w:rsid w:val="0029497E"/>
    <w:rsid w:val="002B01CE"/>
    <w:rsid w:val="002B2897"/>
    <w:rsid w:val="002D108C"/>
    <w:rsid w:val="002D315D"/>
    <w:rsid w:val="002F2508"/>
    <w:rsid w:val="00314C84"/>
    <w:rsid w:val="00316030"/>
    <w:rsid w:val="0031635A"/>
    <w:rsid w:val="00332A11"/>
    <w:rsid w:val="00347686"/>
    <w:rsid w:val="00364BC3"/>
    <w:rsid w:val="003C5C78"/>
    <w:rsid w:val="003D15EC"/>
    <w:rsid w:val="003D540E"/>
    <w:rsid w:val="004202DB"/>
    <w:rsid w:val="00430A8F"/>
    <w:rsid w:val="00444D9C"/>
    <w:rsid w:val="004663F0"/>
    <w:rsid w:val="004B053E"/>
    <w:rsid w:val="004B2E10"/>
    <w:rsid w:val="004F671A"/>
    <w:rsid w:val="0051094B"/>
    <w:rsid w:val="005165E0"/>
    <w:rsid w:val="00566D27"/>
    <w:rsid w:val="00570389"/>
    <w:rsid w:val="005B1E70"/>
    <w:rsid w:val="005C31EE"/>
    <w:rsid w:val="005D4E12"/>
    <w:rsid w:val="005E3051"/>
    <w:rsid w:val="005E7E71"/>
    <w:rsid w:val="00642828"/>
    <w:rsid w:val="00663A06"/>
    <w:rsid w:val="006812F9"/>
    <w:rsid w:val="006C113E"/>
    <w:rsid w:val="006F4B94"/>
    <w:rsid w:val="00705BF0"/>
    <w:rsid w:val="00721F3C"/>
    <w:rsid w:val="0072597D"/>
    <w:rsid w:val="0073063A"/>
    <w:rsid w:val="0074392C"/>
    <w:rsid w:val="00747565"/>
    <w:rsid w:val="00747C83"/>
    <w:rsid w:val="007559CE"/>
    <w:rsid w:val="00760D9B"/>
    <w:rsid w:val="00777442"/>
    <w:rsid w:val="00782935"/>
    <w:rsid w:val="007958AA"/>
    <w:rsid w:val="007B1367"/>
    <w:rsid w:val="007C09F8"/>
    <w:rsid w:val="007D61DE"/>
    <w:rsid w:val="007D7C3F"/>
    <w:rsid w:val="00802A58"/>
    <w:rsid w:val="00802BFC"/>
    <w:rsid w:val="008061F7"/>
    <w:rsid w:val="008217C9"/>
    <w:rsid w:val="00851A87"/>
    <w:rsid w:val="00857219"/>
    <w:rsid w:val="008718FD"/>
    <w:rsid w:val="008955BE"/>
    <w:rsid w:val="008A3F7D"/>
    <w:rsid w:val="008A74F4"/>
    <w:rsid w:val="008B29D6"/>
    <w:rsid w:val="008B447A"/>
    <w:rsid w:val="008B7A7C"/>
    <w:rsid w:val="008D14A4"/>
    <w:rsid w:val="00912616"/>
    <w:rsid w:val="00927C5D"/>
    <w:rsid w:val="009650D7"/>
    <w:rsid w:val="009B6561"/>
    <w:rsid w:val="009C32D1"/>
    <w:rsid w:val="009E3EDD"/>
    <w:rsid w:val="009F64DB"/>
    <w:rsid w:val="00A16C88"/>
    <w:rsid w:val="00A301C3"/>
    <w:rsid w:val="00A46BA3"/>
    <w:rsid w:val="00A55E83"/>
    <w:rsid w:val="00A57412"/>
    <w:rsid w:val="00A71E13"/>
    <w:rsid w:val="00A85F3F"/>
    <w:rsid w:val="00AB7229"/>
    <w:rsid w:val="00AC0F55"/>
    <w:rsid w:val="00AD690A"/>
    <w:rsid w:val="00AF1652"/>
    <w:rsid w:val="00B02CFF"/>
    <w:rsid w:val="00B075EA"/>
    <w:rsid w:val="00B22FE8"/>
    <w:rsid w:val="00B33483"/>
    <w:rsid w:val="00B43EF6"/>
    <w:rsid w:val="00B64A18"/>
    <w:rsid w:val="00B64FC9"/>
    <w:rsid w:val="00B81FB8"/>
    <w:rsid w:val="00B85019"/>
    <w:rsid w:val="00BD2597"/>
    <w:rsid w:val="00BF42D4"/>
    <w:rsid w:val="00C102D9"/>
    <w:rsid w:val="00C130AD"/>
    <w:rsid w:val="00C30EC4"/>
    <w:rsid w:val="00C42C7A"/>
    <w:rsid w:val="00C639C5"/>
    <w:rsid w:val="00C942D1"/>
    <w:rsid w:val="00CA5EBD"/>
    <w:rsid w:val="00CD60DC"/>
    <w:rsid w:val="00CF1040"/>
    <w:rsid w:val="00D13724"/>
    <w:rsid w:val="00D17045"/>
    <w:rsid w:val="00D2681F"/>
    <w:rsid w:val="00D27AF6"/>
    <w:rsid w:val="00D72073"/>
    <w:rsid w:val="00DB583C"/>
    <w:rsid w:val="00DB73CD"/>
    <w:rsid w:val="00DF2A3D"/>
    <w:rsid w:val="00DF3662"/>
    <w:rsid w:val="00E80DAE"/>
    <w:rsid w:val="00E812F0"/>
    <w:rsid w:val="00E86B9F"/>
    <w:rsid w:val="00E9154C"/>
    <w:rsid w:val="00EB24B0"/>
    <w:rsid w:val="00F2376E"/>
    <w:rsid w:val="00F300A6"/>
    <w:rsid w:val="00FA396B"/>
    <w:rsid w:val="00FC0B2A"/>
    <w:rsid w:val="00FD00FE"/>
    <w:rsid w:val="00FF19AB"/>
    <w:rsid w:val="00FF2456"/>
    <w:rsid w:val="010A478A"/>
    <w:rsid w:val="01585841"/>
    <w:rsid w:val="01F815AA"/>
    <w:rsid w:val="01FF0813"/>
    <w:rsid w:val="046643CE"/>
    <w:rsid w:val="04B36EE7"/>
    <w:rsid w:val="05281683"/>
    <w:rsid w:val="057C6C30"/>
    <w:rsid w:val="0596483F"/>
    <w:rsid w:val="06175254"/>
    <w:rsid w:val="06AE3E0A"/>
    <w:rsid w:val="06DD649D"/>
    <w:rsid w:val="06E812B6"/>
    <w:rsid w:val="07CD29AB"/>
    <w:rsid w:val="08072762"/>
    <w:rsid w:val="083E2F6B"/>
    <w:rsid w:val="08D833C0"/>
    <w:rsid w:val="09313B44"/>
    <w:rsid w:val="096B5FE2"/>
    <w:rsid w:val="0A083831"/>
    <w:rsid w:val="0A222B45"/>
    <w:rsid w:val="0A2A37A7"/>
    <w:rsid w:val="0A7B5821"/>
    <w:rsid w:val="0AFC3057"/>
    <w:rsid w:val="0B1F0E32"/>
    <w:rsid w:val="0B4C599F"/>
    <w:rsid w:val="0B73123B"/>
    <w:rsid w:val="0B756CA4"/>
    <w:rsid w:val="0BC43035"/>
    <w:rsid w:val="0CBD6B55"/>
    <w:rsid w:val="0D8816F1"/>
    <w:rsid w:val="0D920B39"/>
    <w:rsid w:val="0DF12A4F"/>
    <w:rsid w:val="0E0001AD"/>
    <w:rsid w:val="0E547045"/>
    <w:rsid w:val="0EA302BD"/>
    <w:rsid w:val="0F282747"/>
    <w:rsid w:val="0F306838"/>
    <w:rsid w:val="0F7756E1"/>
    <w:rsid w:val="0FA81971"/>
    <w:rsid w:val="10021BC6"/>
    <w:rsid w:val="10991687"/>
    <w:rsid w:val="10BE5DCF"/>
    <w:rsid w:val="10D113DB"/>
    <w:rsid w:val="10EC17B7"/>
    <w:rsid w:val="11021A8D"/>
    <w:rsid w:val="110F1058"/>
    <w:rsid w:val="11360C84"/>
    <w:rsid w:val="113E5F0A"/>
    <w:rsid w:val="11555477"/>
    <w:rsid w:val="1159728A"/>
    <w:rsid w:val="11755C50"/>
    <w:rsid w:val="11DE5B38"/>
    <w:rsid w:val="12274A70"/>
    <w:rsid w:val="12742CF3"/>
    <w:rsid w:val="12B5207C"/>
    <w:rsid w:val="12FFECCF"/>
    <w:rsid w:val="13AA2C55"/>
    <w:rsid w:val="14172444"/>
    <w:rsid w:val="14F95010"/>
    <w:rsid w:val="14FB5517"/>
    <w:rsid w:val="151B539B"/>
    <w:rsid w:val="15295A43"/>
    <w:rsid w:val="15DB44F0"/>
    <w:rsid w:val="15ED0C57"/>
    <w:rsid w:val="162B6475"/>
    <w:rsid w:val="16435AF0"/>
    <w:rsid w:val="165C6D1B"/>
    <w:rsid w:val="16917DF9"/>
    <w:rsid w:val="169E17A5"/>
    <w:rsid w:val="16C3120C"/>
    <w:rsid w:val="16FBED3C"/>
    <w:rsid w:val="1747180C"/>
    <w:rsid w:val="184022E7"/>
    <w:rsid w:val="18567E5D"/>
    <w:rsid w:val="18EB3DA0"/>
    <w:rsid w:val="1913665F"/>
    <w:rsid w:val="19C10B67"/>
    <w:rsid w:val="1A253CB3"/>
    <w:rsid w:val="1A7B3BAB"/>
    <w:rsid w:val="1A815666"/>
    <w:rsid w:val="1A8C0435"/>
    <w:rsid w:val="1A935399"/>
    <w:rsid w:val="1AB7535D"/>
    <w:rsid w:val="1B7437CF"/>
    <w:rsid w:val="1B900734"/>
    <w:rsid w:val="1BA3160C"/>
    <w:rsid w:val="1C3564ED"/>
    <w:rsid w:val="1CB54B59"/>
    <w:rsid w:val="1CC51285"/>
    <w:rsid w:val="1CEC4077"/>
    <w:rsid w:val="1CEE68B6"/>
    <w:rsid w:val="1CF00880"/>
    <w:rsid w:val="1DE772AF"/>
    <w:rsid w:val="1DF72CE9"/>
    <w:rsid w:val="1E2D1660"/>
    <w:rsid w:val="1EFF48FB"/>
    <w:rsid w:val="1F3F164B"/>
    <w:rsid w:val="1F460C2C"/>
    <w:rsid w:val="1F5D7D23"/>
    <w:rsid w:val="1F896F53"/>
    <w:rsid w:val="1FD41A70"/>
    <w:rsid w:val="1FE9621C"/>
    <w:rsid w:val="206A6B9C"/>
    <w:rsid w:val="20D21534"/>
    <w:rsid w:val="21354997"/>
    <w:rsid w:val="214251D4"/>
    <w:rsid w:val="214F7359"/>
    <w:rsid w:val="21771570"/>
    <w:rsid w:val="2208041A"/>
    <w:rsid w:val="2234120F"/>
    <w:rsid w:val="22350AE4"/>
    <w:rsid w:val="232A43C0"/>
    <w:rsid w:val="23586A43"/>
    <w:rsid w:val="2358717F"/>
    <w:rsid w:val="23B604D3"/>
    <w:rsid w:val="23E17175"/>
    <w:rsid w:val="23F46EA8"/>
    <w:rsid w:val="24547947"/>
    <w:rsid w:val="24AE3DF0"/>
    <w:rsid w:val="24B108F5"/>
    <w:rsid w:val="24EF141E"/>
    <w:rsid w:val="24FF33AA"/>
    <w:rsid w:val="25101AC1"/>
    <w:rsid w:val="255C45BA"/>
    <w:rsid w:val="256736AA"/>
    <w:rsid w:val="25A0096A"/>
    <w:rsid w:val="265A320F"/>
    <w:rsid w:val="26BB1DE3"/>
    <w:rsid w:val="26BD2643"/>
    <w:rsid w:val="27244943"/>
    <w:rsid w:val="278A4E07"/>
    <w:rsid w:val="278F7807"/>
    <w:rsid w:val="27C15713"/>
    <w:rsid w:val="27DD5D48"/>
    <w:rsid w:val="28081174"/>
    <w:rsid w:val="28357A8F"/>
    <w:rsid w:val="28961FE7"/>
    <w:rsid w:val="28B0104D"/>
    <w:rsid w:val="28F61476"/>
    <w:rsid w:val="29AA106A"/>
    <w:rsid w:val="29B25506"/>
    <w:rsid w:val="29B80978"/>
    <w:rsid w:val="2A2D68B1"/>
    <w:rsid w:val="2AC14A20"/>
    <w:rsid w:val="2AF61758"/>
    <w:rsid w:val="2B1A4D1A"/>
    <w:rsid w:val="2B326508"/>
    <w:rsid w:val="2B6F96B8"/>
    <w:rsid w:val="2C0548D3"/>
    <w:rsid w:val="2C4A4E9E"/>
    <w:rsid w:val="2C803EDB"/>
    <w:rsid w:val="2CE87FA5"/>
    <w:rsid w:val="2DBE22D5"/>
    <w:rsid w:val="2E050545"/>
    <w:rsid w:val="2E706CC8"/>
    <w:rsid w:val="2E8C3BC3"/>
    <w:rsid w:val="2EE31349"/>
    <w:rsid w:val="2F063F34"/>
    <w:rsid w:val="2F104DB2"/>
    <w:rsid w:val="2F191EB9"/>
    <w:rsid w:val="2F1D3A20"/>
    <w:rsid w:val="2F6C023B"/>
    <w:rsid w:val="2F8D1F5F"/>
    <w:rsid w:val="2FFF65BD"/>
    <w:rsid w:val="301161DE"/>
    <w:rsid w:val="309A1361"/>
    <w:rsid w:val="309A925D"/>
    <w:rsid w:val="312E0137"/>
    <w:rsid w:val="313174F1"/>
    <w:rsid w:val="31460FA1"/>
    <w:rsid w:val="314E571E"/>
    <w:rsid w:val="31A11CF2"/>
    <w:rsid w:val="31DD1FA5"/>
    <w:rsid w:val="32162D80"/>
    <w:rsid w:val="326A6587"/>
    <w:rsid w:val="32B3199A"/>
    <w:rsid w:val="32D00AE0"/>
    <w:rsid w:val="32FC1321"/>
    <w:rsid w:val="332C6F7C"/>
    <w:rsid w:val="33A51F6D"/>
    <w:rsid w:val="33AC529D"/>
    <w:rsid w:val="33CA5530"/>
    <w:rsid w:val="33E5680D"/>
    <w:rsid w:val="33F7AA20"/>
    <w:rsid w:val="341669C7"/>
    <w:rsid w:val="342B1D46"/>
    <w:rsid w:val="348176BF"/>
    <w:rsid w:val="351572F3"/>
    <w:rsid w:val="356A1AE6"/>
    <w:rsid w:val="359C114E"/>
    <w:rsid w:val="359F4799"/>
    <w:rsid w:val="35E75A2B"/>
    <w:rsid w:val="36003DA0"/>
    <w:rsid w:val="368C11C2"/>
    <w:rsid w:val="36D61DE1"/>
    <w:rsid w:val="36EE3F86"/>
    <w:rsid w:val="37F0777C"/>
    <w:rsid w:val="3885411B"/>
    <w:rsid w:val="38B55749"/>
    <w:rsid w:val="38CB26D6"/>
    <w:rsid w:val="38D46E50"/>
    <w:rsid w:val="394A59F5"/>
    <w:rsid w:val="39634ED1"/>
    <w:rsid w:val="3A38610E"/>
    <w:rsid w:val="3A9B2F6B"/>
    <w:rsid w:val="3B0C4D1A"/>
    <w:rsid w:val="3B1B48C3"/>
    <w:rsid w:val="3BE70467"/>
    <w:rsid w:val="3BEA1C9E"/>
    <w:rsid w:val="3C221C81"/>
    <w:rsid w:val="3C4D055F"/>
    <w:rsid w:val="3C4E2B03"/>
    <w:rsid w:val="3D567E34"/>
    <w:rsid w:val="3DD551FD"/>
    <w:rsid w:val="3DEF7FD5"/>
    <w:rsid w:val="3E0B05B4"/>
    <w:rsid w:val="3E497999"/>
    <w:rsid w:val="3EDF3E59"/>
    <w:rsid w:val="3F6A3511"/>
    <w:rsid w:val="3F6F0DF2"/>
    <w:rsid w:val="3FCA68B7"/>
    <w:rsid w:val="41083B3B"/>
    <w:rsid w:val="410E0514"/>
    <w:rsid w:val="41596145"/>
    <w:rsid w:val="419F1134"/>
    <w:rsid w:val="41B375E2"/>
    <w:rsid w:val="41C757A4"/>
    <w:rsid w:val="41F120F0"/>
    <w:rsid w:val="41F57644"/>
    <w:rsid w:val="42B503B9"/>
    <w:rsid w:val="42CD0B98"/>
    <w:rsid w:val="434E1FF5"/>
    <w:rsid w:val="43733F99"/>
    <w:rsid w:val="43A21A32"/>
    <w:rsid w:val="43C74575"/>
    <w:rsid w:val="4404683C"/>
    <w:rsid w:val="44B244EA"/>
    <w:rsid w:val="454546F6"/>
    <w:rsid w:val="45517769"/>
    <w:rsid w:val="45AB2F1D"/>
    <w:rsid w:val="463351B6"/>
    <w:rsid w:val="46463D50"/>
    <w:rsid w:val="46B33E4F"/>
    <w:rsid w:val="46C2478C"/>
    <w:rsid w:val="475E6263"/>
    <w:rsid w:val="47CF53B3"/>
    <w:rsid w:val="47D02EA6"/>
    <w:rsid w:val="47F22E4F"/>
    <w:rsid w:val="47FB951B"/>
    <w:rsid w:val="48517B76"/>
    <w:rsid w:val="485D7C31"/>
    <w:rsid w:val="48F54B89"/>
    <w:rsid w:val="4939299B"/>
    <w:rsid w:val="49C36851"/>
    <w:rsid w:val="4A1807D9"/>
    <w:rsid w:val="4A3414FD"/>
    <w:rsid w:val="4AAD7EBC"/>
    <w:rsid w:val="4AD0109B"/>
    <w:rsid w:val="4B04293D"/>
    <w:rsid w:val="4BEA5227"/>
    <w:rsid w:val="4D202FBD"/>
    <w:rsid w:val="4D2A552F"/>
    <w:rsid w:val="4D8409ED"/>
    <w:rsid w:val="4D89219C"/>
    <w:rsid w:val="4E3C5295"/>
    <w:rsid w:val="4EFC14B5"/>
    <w:rsid w:val="4F6B59C1"/>
    <w:rsid w:val="4F711921"/>
    <w:rsid w:val="4FA72771"/>
    <w:rsid w:val="4FC7696F"/>
    <w:rsid w:val="4FD5108C"/>
    <w:rsid w:val="4FFF55F5"/>
    <w:rsid w:val="514D2DE9"/>
    <w:rsid w:val="51537068"/>
    <w:rsid w:val="518D4042"/>
    <w:rsid w:val="51CF72FC"/>
    <w:rsid w:val="51E152C2"/>
    <w:rsid w:val="51F07A9F"/>
    <w:rsid w:val="51FD48CA"/>
    <w:rsid w:val="524D4013"/>
    <w:rsid w:val="530914B2"/>
    <w:rsid w:val="533D8485"/>
    <w:rsid w:val="53464C6F"/>
    <w:rsid w:val="53681BC2"/>
    <w:rsid w:val="540D5B03"/>
    <w:rsid w:val="546E385E"/>
    <w:rsid w:val="54712112"/>
    <w:rsid w:val="547F15B6"/>
    <w:rsid w:val="54A0435F"/>
    <w:rsid w:val="561D27C8"/>
    <w:rsid w:val="56445FF1"/>
    <w:rsid w:val="565E52DC"/>
    <w:rsid w:val="56AB7EB0"/>
    <w:rsid w:val="56B435F5"/>
    <w:rsid w:val="56D57BC4"/>
    <w:rsid w:val="56ED7603"/>
    <w:rsid w:val="56EF4ADE"/>
    <w:rsid w:val="571C59DD"/>
    <w:rsid w:val="57BE68AA"/>
    <w:rsid w:val="584C4E37"/>
    <w:rsid w:val="586A0EF8"/>
    <w:rsid w:val="58D02D39"/>
    <w:rsid w:val="58D520FD"/>
    <w:rsid w:val="59044790"/>
    <w:rsid w:val="590B1FC3"/>
    <w:rsid w:val="591E1CF6"/>
    <w:rsid w:val="59B63CDD"/>
    <w:rsid w:val="59BD4662"/>
    <w:rsid w:val="59F71FA8"/>
    <w:rsid w:val="5A0407DB"/>
    <w:rsid w:val="5A0C4F1D"/>
    <w:rsid w:val="5AA92080"/>
    <w:rsid w:val="5AEE3FD5"/>
    <w:rsid w:val="5AF551FB"/>
    <w:rsid w:val="5B885F07"/>
    <w:rsid w:val="5BC14BBB"/>
    <w:rsid w:val="5BFD3E45"/>
    <w:rsid w:val="5BFDA6B7"/>
    <w:rsid w:val="5C1475D9"/>
    <w:rsid w:val="5C45772D"/>
    <w:rsid w:val="5C9B540C"/>
    <w:rsid w:val="5CC93D27"/>
    <w:rsid w:val="5CEC5C67"/>
    <w:rsid w:val="5D2A3863"/>
    <w:rsid w:val="5D2B49E2"/>
    <w:rsid w:val="5D8B69F2"/>
    <w:rsid w:val="5DC32A29"/>
    <w:rsid w:val="5DCF3D89"/>
    <w:rsid w:val="5DE03A1E"/>
    <w:rsid w:val="5E292D53"/>
    <w:rsid w:val="5E402858"/>
    <w:rsid w:val="5E8E6FD6"/>
    <w:rsid w:val="5E967118"/>
    <w:rsid w:val="5EBE48E3"/>
    <w:rsid w:val="5F7C678D"/>
    <w:rsid w:val="5F8959EF"/>
    <w:rsid w:val="5F8E1258"/>
    <w:rsid w:val="5FAA42E4"/>
    <w:rsid w:val="5FB647BD"/>
    <w:rsid w:val="5FEF10D9"/>
    <w:rsid w:val="5FFAD04B"/>
    <w:rsid w:val="60304AE7"/>
    <w:rsid w:val="60A03D76"/>
    <w:rsid w:val="60F5780F"/>
    <w:rsid w:val="61086244"/>
    <w:rsid w:val="61712209"/>
    <w:rsid w:val="6171498D"/>
    <w:rsid w:val="61C176C2"/>
    <w:rsid w:val="61C70535"/>
    <w:rsid w:val="61C94F3B"/>
    <w:rsid w:val="61EF67EB"/>
    <w:rsid w:val="62EA49F7"/>
    <w:rsid w:val="63251ED3"/>
    <w:rsid w:val="632949BF"/>
    <w:rsid w:val="64234FC4"/>
    <w:rsid w:val="645C7B76"/>
    <w:rsid w:val="645F2960"/>
    <w:rsid w:val="646B7DB9"/>
    <w:rsid w:val="64C136AC"/>
    <w:rsid w:val="64D32746"/>
    <w:rsid w:val="650D2C1F"/>
    <w:rsid w:val="65352818"/>
    <w:rsid w:val="65562818"/>
    <w:rsid w:val="656767D3"/>
    <w:rsid w:val="662D78AC"/>
    <w:rsid w:val="66550274"/>
    <w:rsid w:val="66AF4445"/>
    <w:rsid w:val="6780592A"/>
    <w:rsid w:val="67B747BE"/>
    <w:rsid w:val="67C35F6B"/>
    <w:rsid w:val="67EF0252"/>
    <w:rsid w:val="67F307F2"/>
    <w:rsid w:val="680E1188"/>
    <w:rsid w:val="684704FB"/>
    <w:rsid w:val="68A3636C"/>
    <w:rsid w:val="68B5068D"/>
    <w:rsid w:val="68D76DDA"/>
    <w:rsid w:val="69020CEC"/>
    <w:rsid w:val="693B1EF9"/>
    <w:rsid w:val="696D124B"/>
    <w:rsid w:val="6A6652AB"/>
    <w:rsid w:val="6A786D8C"/>
    <w:rsid w:val="6AAD2EDA"/>
    <w:rsid w:val="6ADB7A47"/>
    <w:rsid w:val="6ADD6936"/>
    <w:rsid w:val="6AEF34F2"/>
    <w:rsid w:val="6B320689"/>
    <w:rsid w:val="6B633598"/>
    <w:rsid w:val="6B7FDF77"/>
    <w:rsid w:val="6B9B5141"/>
    <w:rsid w:val="6B9C1B7F"/>
    <w:rsid w:val="6BF65B3A"/>
    <w:rsid w:val="6C290790"/>
    <w:rsid w:val="6C6C89B2"/>
    <w:rsid w:val="6C7672FB"/>
    <w:rsid w:val="6CC531FE"/>
    <w:rsid w:val="6D022270"/>
    <w:rsid w:val="6D633D24"/>
    <w:rsid w:val="6D68133A"/>
    <w:rsid w:val="6D9E6B0A"/>
    <w:rsid w:val="6DC06E97"/>
    <w:rsid w:val="6DEC3949"/>
    <w:rsid w:val="6DFB4B08"/>
    <w:rsid w:val="6E195E09"/>
    <w:rsid w:val="6E494CC8"/>
    <w:rsid w:val="6E7A30D3"/>
    <w:rsid w:val="6E8977BA"/>
    <w:rsid w:val="6EB02F99"/>
    <w:rsid w:val="6F40757B"/>
    <w:rsid w:val="6F697C94"/>
    <w:rsid w:val="6FB79F60"/>
    <w:rsid w:val="6FDF1039"/>
    <w:rsid w:val="6FF3D5EF"/>
    <w:rsid w:val="6FFE64B8"/>
    <w:rsid w:val="708B2888"/>
    <w:rsid w:val="70974410"/>
    <w:rsid w:val="712A7FDD"/>
    <w:rsid w:val="71636FCA"/>
    <w:rsid w:val="71AF7537"/>
    <w:rsid w:val="71EF18B8"/>
    <w:rsid w:val="72B172DF"/>
    <w:rsid w:val="72D34B7F"/>
    <w:rsid w:val="73223666"/>
    <w:rsid w:val="734B0AAB"/>
    <w:rsid w:val="73530396"/>
    <w:rsid w:val="736F7669"/>
    <w:rsid w:val="73C47862"/>
    <w:rsid w:val="73C92A59"/>
    <w:rsid w:val="73DE0E95"/>
    <w:rsid w:val="74895A9B"/>
    <w:rsid w:val="75226E14"/>
    <w:rsid w:val="75640639"/>
    <w:rsid w:val="75A74162"/>
    <w:rsid w:val="75FFADE3"/>
    <w:rsid w:val="762B2479"/>
    <w:rsid w:val="765F15CD"/>
    <w:rsid w:val="76E01F41"/>
    <w:rsid w:val="77185A8F"/>
    <w:rsid w:val="77617526"/>
    <w:rsid w:val="77C73C8A"/>
    <w:rsid w:val="77D048EE"/>
    <w:rsid w:val="77F031EF"/>
    <w:rsid w:val="786848E4"/>
    <w:rsid w:val="78BB0D75"/>
    <w:rsid w:val="78E33988"/>
    <w:rsid w:val="78E355DA"/>
    <w:rsid w:val="7933180A"/>
    <w:rsid w:val="79440EAD"/>
    <w:rsid w:val="795773B6"/>
    <w:rsid w:val="796F10E0"/>
    <w:rsid w:val="79741A01"/>
    <w:rsid w:val="79905EA0"/>
    <w:rsid w:val="7A0E138A"/>
    <w:rsid w:val="7A214D4A"/>
    <w:rsid w:val="7A340F22"/>
    <w:rsid w:val="7A356A48"/>
    <w:rsid w:val="7B2D602A"/>
    <w:rsid w:val="7B33B8C0"/>
    <w:rsid w:val="7B38059E"/>
    <w:rsid w:val="7C482A62"/>
    <w:rsid w:val="7C5FA00E"/>
    <w:rsid w:val="7CAF474E"/>
    <w:rsid w:val="7CC344F8"/>
    <w:rsid w:val="7D1544D9"/>
    <w:rsid w:val="7D6A4784"/>
    <w:rsid w:val="7DAC706B"/>
    <w:rsid w:val="7DE94895"/>
    <w:rsid w:val="7DEE9EEB"/>
    <w:rsid w:val="7DF17196"/>
    <w:rsid w:val="7DF663BA"/>
    <w:rsid w:val="7E68119A"/>
    <w:rsid w:val="7EF7E090"/>
    <w:rsid w:val="7EFD1E55"/>
    <w:rsid w:val="7EFF65CF"/>
    <w:rsid w:val="7F181734"/>
    <w:rsid w:val="7F3740FE"/>
    <w:rsid w:val="7FAE6446"/>
    <w:rsid w:val="7FB4040F"/>
    <w:rsid w:val="7FB623D9"/>
    <w:rsid w:val="7FE90B3A"/>
    <w:rsid w:val="7FEFD9A3"/>
    <w:rsid w:val="7FF6BD0B"/>
    <w:rsid w:val="7FFF07A2"/>
    <w:rsid w:val="97ABD5C9"/>
    <w:rsid w:val="9F8BE818"/>
    <w:rsid w:val="B9277A3E"/>
    <w:rsid w:val="B9986CDF"/>
    <w:rsid w:val="BE3DE707"/>
    <w:rsid w:val="BEDF10DF"/>
    <w:rsid w:val="BF573095"/>
    <w:rsid w:val="CDDD5BC3"/>
    <w:rsid w:val="CDFDA02B"/>
    <w:rsid w:val="D49F2EE5"/>
    <w:rsid w:val="D7F57AB0"/>
    <w:rsid w:val="DEFBF6B7"/>
    <w:rsid w:val="DFBA4AB1"/>
    <w:rsid w:val="DFD7FA2D"/>
    <w:rsid w:val="DFEFBAF2"/>
    <w:rsid w:val="DFF6512E"/>
    <w:rsid w:val="E677A0AC"/>
    <w:rsid w:val="EFCF96B9"/>
    <w:rsid w:val="EFE7EDB8"/>
    <w:rsid w:val="EFF50DBF"/>
    <w:rsid w:val="EFFA2BA3"/>
    <w:rsid w:val="EFFB96A7"/>
    <w:rsid w:val="F1F5EB06"/>
    <w:rsid w:val="F27B8624"/>
    <w:rsid w:val="F3F6AF31"/>
    <w:rsid w:val="F4FB3689"/>
    <w:rsid w:val="F7637EB8"/>
    <w:rsid w:val="F7D74F1F"/>
    <w:rsid w:val="FBBF5C51"/>
    <w:rsid w:val="FBFEF4E0"/>
    <w:rsid w:val="FDFF9198"/>
    <w:rsid w:val="FE1E3247"/>
    <w:rsid w:val="FEBF03B1"/>
    <w:rsid w:val="FEDE40A0"/>
    <w:rsid w:val="FF9F7785"/>
    <w:rsid w:val="FFBEDCDB"/>
    <w:rsid w:val="FFCFC0E8"/>
    <w:rsid w:val="FFD7D8EA"/>
    <w:rsid w:val="FFEE6CBC"/>
    <w:rsid w:val="FFFD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cs="Times New Roman"/>
      <w:b/>
      <w:kern w:val="44"/>
      <w:sz w:val="48"/>
      <w:szCs w:val="48"/>
    </w:rPr>
  </w:style>
  <w:style w:type="paragraph" w:styleId="4">
    <w:name w:val="heading 2"/>
    <w:basedOn w:val="1"/>
    <w:next w:val="1"/>
    <w:unhideWhenUsed/>
    <w:qFormat/>
    <w:uiPriority w:val="9"/>
    <w:pPr>
      <w:keepNext/>
      <w:spacing w:before="240" w:after="240"/>
      <w:outlineLvl w:val="1"/>
    </w:pPr>
    <w:rPr>
      <w:rFonts w:ascii="Arial" w:hAnsi="Arial" w:eastAsia="黑体" w:cs="Arial"/>
      <w:b/>
      <w:bCs/>
      <w:i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Plain Text"/>
    <w:basedOn w:val="1"/>
    <w:link w:val="16"/>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Emphasis"/>
    <w:basedOn w:val="11"/>
    <w:qFormat/>
    <w:uiPriority w:val="20"/>
    <w:rPr>
      <w:i/>
    </w:rPr>
  </w:style>
  <w:style w:type="character" w:styleId="14">
    <w:name w:val="Hyperlink"/>
    <w:basedOn w:val="11"/>
    <w:qFormat/>
    <w:uiPriority w:val="0"/>
    <w:rPr>
      <w:color w:val="0000FF"/>
      <w:u w:val="single"/>
    </w:rPr>
  </w:style>
  <w:style w:type="character" w:styleId="15">
    <w:name w:val="footnote reference"/>
    <w:basedOn w:val="11"/>
    <w:qFormat/>
    <w:uiPriority w:val="0"/>
    <w:rPr>
      <w:vertAlign w:val="superscript"/>
    </w:rPr>
  </w:style>
  <w:style w:type="character" w:customStyle="1" w:styleId="16">
    <w:name w:val="纯文本 字符"/>
    <w:basedOn w:val="11"/>
    <w:link w:val="5"/>
    <w:qFormat/>
    <w:uiPriority w:val="0"/>
    <w:rPr>
      <w:rFonts w:ascii="宋体" w:hAnsi="Courier New" w:cs="Courier New"/>
      <w:kern w:val="2"/>
      <w:sz w:val="21"/>
      <w:szCs w:val="21"/>
    </w:rPr>
  </w:style>
  <w:style w:type="paragraph" w:customStyle="1" w:styleId="17">
    <w:name w:val="石墨文档正文"/>
    <w:qFormat/>
    <w:uiPriority w:val="0"/>
    <w:rPr>
      <w:rFonts w:ascii="微软雅黑" w:hAnsi="微软雅黑" w:eastAsia="微软雅黑" w:cs="微软雅黑"/>
      <w:sz w:val="22"/>
      <w:szCs w:val="22"/>
      <w:lang w:val="en-US" w:eastAsia="zh-CN" w:bidi="ar-SA"/>
    </w:rPr>
  </w:style>
  <w:style w:type="paragraph" w:customStyle="1" w:styleId="18">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19">
    <w:name w:val="样式 文字 + 首行缩进:  2 字符3"/>
    <w:basedOn w:val="1"/>
    <w:qFormat/>
    <w:uiPriority w:val="0"/>
    <w:pPr>
      <w:spacing w:line="360" w:lineRule="auto"/>
      <w:ind w:firstLine="200" w:firstLineChars="200"/>
    </w:pPr>
    <w:rPr>
      <w:rFonts w:eastAsia="仿宋_GB231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383</Words>
  <Characters>2184</Characters>
  <Lines>18</Lines>
  <Paragraphs>5</Paragraphs>
  <TotalTime>39</TotalTime>
  <ScaleCrop>false</ScaleCrop>
  <LinksUpToDate>false</LinksUpToDate>
  <CharactersWithSpaces>2562</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2023-04-16T14:39:00Z</dcterms:created>
  <dc:creator>黄国鹏</dc:creator>
  <cp:lastModifiedBy>Victor</cp:lastModifiedBy>
  <cp:lastPrinted>2023-05-18T16:19:00Z</cp:lastPrinted>
  <dcterms:modified xsi:type="dcterms:W3CDTF">2023-05-18T09:03:03Z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B4FACF7EB75A224AFC746564E11E038E</vt:lpwstr>
  </property>
</Properties>
</file>