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640" w:firstLineChars="200"/>
        <w:jc w:val="center"/>
        <w:rPr>
          <w:rFonts w:hint="eastAsia" w:ascii="仿宋_GB2312" w:hAnsi="宋体" w:eastAsia="仿宋_GB2312"/>
          <w:sz w:val="32"/>
          <w:szCs w:val="32"/>
          <w:lang w:val="en-US" w:eastAsia="zh-CN"/>
        </w:rPr>
      </w:pPr>
      <w:bookmarkStart w:id="24" w:name="_GoBack"/>
      <w:bookmarkEnd w:id="24"/>
      <w:bookmarkStart w:id="0" w:name="F10"/>
    </w:p>
    <w:p>
      <w:pPr>
        <w:snapToGrid w:val="0"/>
        <w:spacing w:line="360" w:lineRule="auto"/>
        <w:ind w:firstLine="640" w:firstLineChars="200"/>
        <w:jc w:val="center"/>
        <w:rPr>
          <w:rFonts w:hint="eastAsia" w:ascii="仿宋_GB2312" w:hAnsi="宋体" w:eastAsia="仿宋_GB2312"/>
          <w:sz w:val="32"/>
          <w:szCs w:val="32"/>
          <w:lang w:val="en-US" w:eastAsia="zh-CN"/>
        </w:rPr>
      </w:pPr>
    </w:p>
    <w:p>
      <w:pPr>
        <w:snapToGrid w:val="0"/>
        <w:spacing w:line="360" w:lineRule="auto"/>
        <w:ind w:firstLine="640" w:firstLineChars="200"/>
        <w:jc w:val="center"/>
        <w:rPr>
          <w:rFonts w:hint="eastAsia" w:ascii="仿宋_GB2312" w:hAnsi="宋体" w:eastAsia="仿宋_GB2312"/>
          <w:sz w:val="32"/>
          <w:szCs w:val="32"/>
          <w:lang w:val="en-US" w:eastAsia="zh-CN"/>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 w:val="52"/>
          <w:szCs w:val="52"/>
          <w:lang w:val="en-US" w:eastAsia="zh-CN"/>
        </w:rPr>
      </w:pPr>
      <w:r>
        <w:rPr>
          <w:rFonts w:hint="eastAsia" w:ascii="Times New Roman" w:hAnsi="Times New Roman" w:eastAsia="华文中宋"/>
          <w:b/>
          <w:bCs/>
          <w:sz w:val="52"/>
          <w:szCs w:val="52"/>
          <w:lang w:val="en-US" w:eastAsia="zh-CN"/>
        </w:rPr>
        <w:t>工业和信息化部网络安全产业发展中心（工业和信息化部信息中心）</w:t>
      </w: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 w:val="52"/>
          <w:szCs w:val="52"/>
          <w:lang w:val="en-US" w:eastAsia="zh-CN"/>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 w:val="52"/>
          <w:szCs w:val="52"/>
          <w:lang w:val="en-US" w:eastAsia="zh-CN"/>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 w:val="52"/>
          <w:szCs w:val="52"/>
          <w:lang w:val="en-US" w:eastAsia="zh-CN"/>
        </w:rPr>
      </w:pPr>
    </w:p>
    <w:p>
      <w:pPr>
        <w:pStyle w:val="4"/>
        <w:rPr>
          <w:rFonts w:hint="eastAsia"/>
          <w:b/>
          <w:bCs/>
          <w:lang w:val="en-US" w:eastAsia="zh-CN"/>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 w:val="84"/>
        </w:rPr>
      </w:pPr>
      <w:r>
        <w:rPr>
          <w:rFonts w:hint="eastAsia" w:ascii="Times New Roman" w:hAnsi="Times New Roman" w:eastAsia="华文中宋"/>
          <w:b/>
          <w:bCs/>
          <w:sz w:val="84"/>
        </w:rPr>
        <w:t>20</w:t>
      </w:r>
      <w:r>
        <w:rPr>
          <w:rFonts w:hint="eastAsia" w:ascii="Times New Roman" w:hAnsi="Times New Roman" w:eastAsia="华文中宋"/>
          <w:b/>
          <w:bCs/>
          <w:sz w:val="84"/>
          <w:lang w:val="en-US" w:eastAsia="zh-CN"/>
        </w:rPr>
        <w:t>20</w:t>
      </w:r>
      <w:r>
        <w:rPr>
          <w:rFonts w:hint="eastAsia" w:ascii="Times New Roman" w:hAnsi="Times New Roman" w:eastAsia="华文中宋"/>
          <w:b/>
          <w:bCs/>
          <w:sz w:val="84"/>
        </w:rPr>
        <w:t>年度部门决算</w:t>
      </w: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Cs w:val="21"/>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Cs w:val="21"/>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Cs w:val="21"/>
        </w:rPr>
      </w:pPr>
    </w:p>
    <w:p>
      <w:pPr>
        <w:pageBreakBefore w:val="0"/>
        <w:widowControl w:val="0"/>
        <w:kinsoku/>
        <w:wordWrap/>
        <w:overflowPunct/>
        <w:topLinePunct w:val="0"/>
        <w:autoSpaceDE/>
        <w:bidi w:val="0"/>
        <w:adjustRightInd/>
        <w:snapToGrid/>
        <w:ind w:right="0" w:rightChars="0"/>
        <w:jc w:val="center"/>
        <w:rPr>
          <w:rFonts w:hint="eastAsia" w:ascii="Times New Roman" w:hAnsi="Times New Roman" w:eastAsia="华文中宋"/>
          <w:b/>
          <w:bCs/>
          <w:szCs w:val="21"/>
        </w:rPr>
      </w:pPr>
    </w:p>
    <w:p>
      <w:pPr>
        <w:pStyle w:val="8"/>
        <w:pageBreakBefore w:val="0"/>
        <w:widowControl w:val="0"/>
        <w:tabs>
          <w:tab w:val="right" w:leader="dot" w:pos="9070"/>
        </w:tabs>
        <w:kinsoku/>
        <w:wordWrap/>
        <w:overflowPunct/>
        <w:topLinePunct w:val="0"/>
        <w:autoSpaceDE/>
        <w:bidi w:val="0"/>
        <w:adjustRightInd/>
        <w:snapToGrid/>
        <w:ind w:left="0" w:leftChars="0" w:right="0" w:rightChars="0"/>
        <w:jc w:val="center"/>
        <w:rPr>
          <w:rFonts w:hint="eastAsia" w:ascii="Times New Roman" w:hAnsi="Times New Roman"/>
          <w:b/>
          <w:bCs/>
          <w:sz w:val="44"/>
        </w:rPr>
      </w:pPr>
    </w:p>
    <w:p>
      <w:pPr>
        <w:pageBreakBefore w:val="0"/>
        <w:widowControl w:val="0"/>
        <w:kinsoku/>
        <w:wordWrap/>
        <w:overflowPunct/>
        <w:topLinePunct w:val="0"/>
        <w:autoSpaceDE/>
        <w:bidi w:val="0"/>
        <w:adjustRightInd/>
        <w:snapToGrid/>
        <w:ind w:right="0" w:rightChars="0"/>
        <w:rPr>
          <w:rFonts w:hint="eastAsia" w:ascii="Times New Roman" w:hAnsi="Times New Roman"/>
          <w:b/>
          <w:bCs/>
          <w:sz w:val="44"/>
        </w:rPr>
      </w:pPr>
    </w:p>
    <w:p>
      <w:pPr>
        <w:pageBreakBefore w:val="0"/>
        <w:widowControl w:val="0"/>
        <w:kinsoku/>
        <w:wordWrap/>
        <w:overflowPunct/>
        <w:topLinePunct w:val="0"/>
        <w:autoSpaceDE/>
        <w:bidi w:val="0"/>
        <w:adjustRightInd/>
        <w:snapToGrid/>
        <w:ind w:right="0" w:rightChars="0"/>
        <w:rPr>
          <w:rFonts w:hint="eastAsia" w:ascii="Times New Roman" w:hAnsi="Times New Roman"/>
          <w:b/>
          <w:bCs/>
          <w:sz w:val="44"/>
        </w:rPr>
      </w:pPr>
    </w:p>
    <w:p>
      <w:pPr>
        <w:pageBreakBefore w:val="0"/>
        <w:widowControl w:val="0"/>
        <w:kinsoku/>
        <w:wordWrap/>
        <w:overflowPunct/>
        <w:topLinePunct w:val="0"/>
        <w:autoSpaceDE/>
        <w:bidi w:val="0"/>
        <w:adjustRightInd/>
        <w:snapToGrid/>
        <w:ind w:right="0" w:rightChars="0"/>
        <w:rPr>
          <w:rFonts w:hint="eastAsia" w:ascii="Times New Roman" w:hAnsi="Times New Roman"/>
          <w:b/>
          <w:bCs/>
          <w:sz w:val="44"/>
        </w:rPr>
      </w:pPr>
    </w:p>
    <w:p>
      <w:pPr>
        <w:pStyle w:val="8"/>
        <w:pageBreakBefore w:val="0"/>
        <w:widowControl w:val="0"/>
        <w:tabs>
          <w:tab w:val="right" w:leader="dot" w:pos="9070"/>
        </w:tabs>
        <w:kinsoku/>
        <w:wordWrap/>
        <w:overflowPunct/>
        <w:topLinePunct w:val="0"/>
        <w:autoSpaceDE/>
        <w:bidi w:val="0"/>
        <w:adjustRightInd/>
        <w:snapToGrid/>
        <w:ind w:left="0" w:leftChars="0" w:right="0" w:rightChars="0"/>
        <w:jc w:val="center"/>
        <w:rPr>
          <w:rFonts w:hint="eastAsia" w:ascii="Times New Roman" w:hAnsi="Times New Roman"/>
          <w:b/>
          <w:bCs/>
          <w:sz w:val="44"/>
        </w:rPr>
      </w:pPr>
    </w:p>
    <w:p>
      <w:pPr>
        <w:pStyle w:val="8"/>
        <w:pageBreakBefore w:val="0"/>
        <w:widowControl w:val="0"/>
        <w:tabs>
          <w:tab w:val="right" w:leader="dot" w:pos="9070"/>
        </w:tabs>
        <w:kinsoku/>
        <w:wordWrap/>
        <w:overflowPunct/>
        <w:topLinePunct w:val="0"/>
        <w:autoSpaceDE/>
        <w:bidi w:val="0"/>
        <w:adjustRightInd/>
        <w:snapToGrid/>
        <w:ind w:left="0" w:leftChars="0" w:right="0" w:rightChars="0"/>
        <w:jc w:val="center"/>
        <w:rPr>
          <w:rFonts w:hint="eastAsia" w:ascii="Times New Roman" w:hAnsi="Times New Roman"/>
          <w:b/>
          <w:bCs/>
          <w:sz w:val="44"/>
        </w:rPr>
      </w:pPr>
      <w:r>
        <w:rPr>
          <w:rFonts w:hint="eastAsia" w:ascii="Times New Roman" w:hAnsi="Times New Roman"/>
          <w:b/>
          <w:bCs/>
          <w:sz w:val="44"/>
        </w:rPr>
        <w:t>二〇二</w:t>
      </w:r>
      <w:r>
        <w:rPr>
          <w:rFonts w:hint="eastAsia" w:ascii="Times New Roman" w:hAnsi="Times New Roman"/>
          <w:b/>
          <w:bCs/>
          <w:sz w:val="44"/>
          <w:lang w:eastAsia="zh-CN"/>
        </w:rPr>
        <w:t>一</w:t>
      </w:r>
      <w:r>
        <w:rPr>
          <w:rFonts w:hint="eastAsia" w:ascii="Times New Roman" w:hAnsi="Times New Roman"/>
          <w:b/>
          <w:bCs/>
          <w:sz w:val="44"/>
        </w:rPr>
        <w:t>年</w:t>
      </w:r>
      <w:r>
        <w:rPr>
          <w:rFonts w:hint="eastAsia" w:ascii="Times New Roman" w:hAnsi="Times New Roman"/>
          <w:b/>
          <w:bCs/>
          <w:sz w:val="44"/>
          <w:lang w:eastAsia="zh-CN"/>
        </w:rPr>
        <w:t>八</w:t>
      </w:r>
      <w:r>
        <w:rPr>
          <w:rFonts w:hint="eastAsia" w:ascii="Times New Roman" w:hAnsi="Times New Roman"/>
          <w:b/>
          <w:bCs/>
          <w:sz w:val="44"/>
        </w:rPr>
        <w:t>月</w:t>
      </w:r>
    </w:p>
    <w:p>
      <w:pPr>
        <w:pageBreakBefore w:val="0"/>
        <w:widowControl w:val="0"/>
        <w:kinsoku/>
        <w:wordWrap/>
        <w:overflowPunct/>
        <w:topLinePunct w:val="0"/>
        <w:autoSpaceDE/>
        <w:bidi w:val="0"/>
        <w:adjustRightInd/>
        <w:snapToGrid/>
        <w:ind w:right="0" w:rightChars="0"/>
        <w:rPr>
          <w:rFonts w:hint="eastAsia" w:ascii="Times New Roman" w:hAnsi="Times New Roman" w:eastAsia="仿宋_GB2312" w:cs="仿宋_GB2312"/>
          <w:b/>
          <w:bCs/>
          <w:sz w:val="28"/>
          <w:szCs w:val="28"/>
        </w:rPr>
        <w:sectPr>
          <w:headerReference r:id="rId3" w:type="first"/>
          <w:footerReference r:id="rId5" w:type="first"/>
          <w:footerReference r:id="rId4" w:type="default"/>
          <w:pgSz w:w="11906" w:h="16838"/>
          <w:pgMar w:top="1417" w:right="1361" w:bottom="1417" w:left="1361" w:header="851" w:footer="992" w:gutter="0"/>
          <w:paperSrc/>
          <w:pgBorders>
            <w:top w:val="none" w:sz="0" w:space="0"/>
            <w:left w:val="none" w:sz="0" w:space="0"/>
            <w:bottom w:val="none" w:sz="0" w:space="0"/>
            <w:right w:val="none" w:sz="0" w:space="0"/>
          </w:pgBorders>
          <w:pgNumType w:fmt="decimal" w:start="1"/>
          <w:cols w:space="720" w:num="1"/>
          <w:docGrid w:type="lines" w:linePitch="312" w:charSpace="0"/>
        </w:sectPr>
      </w:pPr>
    </w:p>
    <w:p>
      <w:pPr>
        <w:snapToGrid w:val="0"/>
        <w:spacing w:line="360" w:lineRule="auto"/>
        <w:ind w:firstLine="640" w:firstLineChars="200"/>
        <w:jc w:val="center"/>
        <w:rPr>
          <w:rFonts w:hint="eastAsia" w:ascii="仿宋_GB2312" w:hAnsi="宋体" w:eastAsia="仿宋_GB2312"/>
          <w:sz w:val="32"/>
          <w:szCs w:val="32"/>
          <w:lang w:val="en-US" w:eastAsia="zh-CN"/>
        </w:rPr>
      </w:pPr>
    </w:p>
    <w:p>
      <w:pPr>
        <w:snapToGrid w:val="0"/>
        <w:spacing w:line="360" w:lineRule="auto"/>
        <w:jc w:val="center"/>
        <w:rPr>
          <w:rFonts w:hint="eastAsia" w:ascii="Times New Roman" w:hAnsi="Times New Roman" w:eastAsia="宋体" w:cs="宋体"/>
          <w:kern w:val="2"/>
          <w:sz w:val="44"/>
          <w:szCs w:val="44"/>
          <w:lang w:val="en-US" w:eastAsia="zh-CN" w:bidi="ar-SA"/>
        </w:rPr>
      </w:pPr>
      <w:r>
        <w:rPr>
          <w:rFonts w:hint="eastAsia" w:ascii="Times New Roman" w:hAnsi="Times New Roman" w:eastAsia="宋体" w:cs="宋体"/>
          <w:kern w:val="2"/>
          <w:sz w:val="44"/>
          <w:szCs w:val="44"/>
          <w:lang w:val="en-US" w:eastAsia="zh-CN" w:bidi="ar-SA"/>
        </w:rPr>
        <w:t>目  录</w:t>
      </w:r>
    </w:p>
    <w:p>
      <w:pPr>
        <w:pStyle w:val="7"/>
        <w:tabs>
          <w:tab w:val="right" w:leader="dot" w:pos="9184"/>
        </w:tabs>
        <w:rPr>
          <w:rFonts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_Toc11341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第一部分</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_Toc23058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kern w:val="2"/>
          <w:sz w:val="32"/>
          <w:szCs w:val="32"/>
          <w:lang w:val="en-US" w:eastAsia="zh-CN"/>
        </w:rPr>
        <w:t>单位</w:t>
      </w:r>
      <w:r>
        <w:rPr>
          <w:rFonts w:hint="eastAsia" w:ascii="Times New Roman" w:hAnsi="Times New Roman" w:eastAsia="宋体"/>
          <w:kern w:val="2"/>
          <w:sz w:val="32"/>
          <w:szCs w:val="32"/>
          <w:lang w:val="en-US" w:eastAsia="zh-CN"/>
        </w:rPr>
        <w:t>概况</w:t>
      </w:r>
      <w:r>
        <w:rPr>
          <w:rFonts w:hint="eastAsia" w:ascii="Times New Roman" w:hAnsi="Times New Roman"/>
          <w:kern w:val="2"/>
          <w:sz w:val="32"/>
          <w:szCs w:val="32"/>
          <w:lang w:val="en-US" w:eastAsia="zh-CN"/>
        </w:rPr>
        <w:t>..................................................................2</w:t>
      </w:r>
      <w:r>
        <w:rPr>
          <w:rFonts w:hint="eastAsia" w:ascii="Times New Roman" w:hAnsi="Times New Roman" w:eastAsia="仿宋_GB2312" w:cs="仿宋_GB2312"/>
          <w:kern w:val="2"/>
          <w:sz w:val="32"/>
          <w:szCs w:val="32"/>
          <w:lang w:val="en-US" w:eastAsia="zh-CN"/>
        </w:rPr>
        <w:fldChar w:fldCharType="end"/>
      </w:r>
    </w:p>
    <w:p>
      <w:pPr>
        <w:pStyle w:val="8"/>
        <w:tabs>
          <w:tab w:val="right" w:leader="dot" w:pos="9184"/>
        </w:tabs>
        <w:rPr>
          <w:rFonts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_Toc29444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一</w:t>
      </w:r>
      <w:r>
        <w:rPr>
          <w:rFonts w:hint="eastAsia" w:ascii="Times New Roman" w:hAnsi="Times New Roman" w:eastAsia="黑体" w:cs="黑体"/>
          <w:kern w:val="2"/>
          <w:sz w:val="32"/>
          <w:szCs w:val="32"/>
          <w:lang w:val="en-US" w:eastAsia="zh-CN"/>
        </w:rPr>
        <w:t>、</w:t>
      </w:r>
      <w:r>
        <w:rPr>
          <w:rFonts w:hint="eastAsia" w:ascii="Times New Roman" w:hAnsi="Times New Roman" w:cs="宋体"/>
          <w:kern w:val="2"/>
          <w:sz w:val="32"/>
          <w:szCs w:val="32"/>
          <w:lang w:val="en-US" w:eastAsia="zh-CN"/>
        </w:rPr>
        <w:t>单位介绍.......................................................................</w:t>
      </w:r>
      <w:r>
        <w:rPr>
          <w:rFonts w:hint="eastAsia" w:ascii="Times New Roman" w:hAnsi="Times New Roman"/>
          <w:kern w:val="2"/>
          <w:sz w:val="32"/>
          <w:szCs w:val="32"/>
          <w:lang w:val="en-US" w:eastAsia="zh-CN"/>
        </w:rPr>
        <w:t>3</w:t>
      </w:r>
      <w:r>
        <w:rPr>
          <w:rFonts w:hint="eastAsia" w:ascii="Times New Roman" w:hAnsi="Times New Roman" w:eastAsia="仿宋_GB2312" w:cs="仿宋_GB2312"/>
          <w:kern w:val="2"/>
          <w:sz w:val="32"/>
          <w:szCs w:val="32"/>
          <w:lang w:val="en-US" w:eastAsia="zh-CN"/>
        </w:rPr>
        <w:fldChar w:fldCharType="end"/>
      </w:r>
    </w:p>
    <w:p>
      <w:pPr>
        <w:pStyle w:val="8"/>
        <w:tabs>
          <w:tab w:val="right" w:leader="dot" w:pos="9184"/>
        </w:tabs>
        <w:rPr>
          <w:rFonts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_Toc12061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二</w:t>
      </w:r>
      <w:r>
        <w:rPr>
          <w:rFonts w:hint="eastAsia" w:ascii="Times New Roman" w:hAnsi="Times New Roman" w:eastAsia="黑体" w:cs="黑体"/>
          <w:bCs w:val="0"/>
          <w:kern w:val="2"/>
          <w:sz w:val="32"/>
          <w:szCs w:val="32"/>
          <w:lang w:val="en-US" w:eastAsia="zh-CN"/>
        </w:rPr>
        <w:t>、</w:t>
      </w:r>
      <w:r>
        <w:rPr>
          <w:rFonts w:hint="eastAsia" w:ascii="Times New Roman" w:hAnsi="Times New Roman" w:eastAsia="宋体" w:cs="宋体"/>
          <w:bCs w:val="0"/>
          <w:kern w:val="2"/>
          <w:sz w:val="32"/>
          <w:szCs w:val="32"/>
          <w:lang w:val="en-US" w:eastAsia="zh-CN"/>
        </w:rPr>
        <w:t>机构设置</w:t>
      </w:r>
      <w:r>
        <w:rPr>
          <w:rFonts w:hint="eastAsia" w:ascii="Times New Roman" w:hAnsi="Times New Roman" w:cs="宋体"/>
          <w:bCs w:val="0"/>
          <w:kern w:val="2"/>
          <w:sz w:val="32"/>
          <w:szCs w:val="32"/>
          <w:lang w:val="en-US" w:eastAsia="zh-CN"/>
        </w:rPr>
        <w:t>.......................................................................</w:t>
      </w:r>
      <w:r>
        <w:rPr>
          <w:rFonts w:hint="eastAsia" w:ascii="Times New Roman" w:hAnsi="Times New Roman"/>
          <w:kern w:val="2"/>
          <w:sz w:val="32"/>
          <w:szCs w:val="32"/>
          <w:lang w:val="en-US" w:eastAsia="zh-CN"/>
        </w:rPr>
        <w:t>4</w:t>
      </w:r>
      <w:r>
        <w:rPr>
          <w:rFonts w:hint="eastAsia" w:ascii="Times New Roman" w:hAnsi="Times New Roman" w:eastAsia="仿宋_GB2312" w:cs="仿宋_GB2312"/>
          <w:kern w:val="2"/>
          <w:sz w:val="32"/>
          <w:szCs w:val="32"/>
          <w:lang w:val="en-US" w:eastAsia="zh-CN"/>
        </w:rPr>
        <w:fldChar w:fldCharType="end"/>
      </w:r>
    </w:p>
    <w:p>
      <w:pPr>
        <w:pStyle w:val="7"/>
        <w:tabs>
          <w:tab w:val="right" w:leader="dot" w:pos="9184"/>
        </w:tabs>
        <w:rPr>
          <w:rFonts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_Toc23792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第二部分</w:t>
      </w:r>
      <w:r>
        <w:rPr>
          <w:rFonts w:hint="eastAsia" w:ascii="Times New Roman" w:hAnsi="Times New Roman"/>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t>2020</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_Toc5649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年度部门决算报表</w:t>
      </w:r>
      <w:r>
        <w:rPr>
          <w:rFonts w:hint="eastAsia" w:ascii="Times New Roman" w:hAnsi="Times New Roman"/>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6</w:t>
      </w:r>
      <w:r>
        <w:rPr>
          <w:rFonts w:hint="eastAsia" w:ascii="Times New Roman" w:hAnsi="Times New Roman" w:eastAsia="仿宋_GB2312" w:cs="仿宋_GB2312"/>
          <w:kern w:val="2"/>
          <w:sz w:val="32"/>
          <w:szCs w:val="32"/>
          <w:lang w:val="en-US" w:eastAsia="zh-CN"/>
        </w:rPr>
        <w:fldChar w:fldCharType="end"/>
      </w:r>
    </w:p>
    <w:p>
      <w:pPr>
        <w:pStyle w:val="8"/>
        <w:tabs>
          <w:tab w:val="right" w:leader="dot" w:pos="9184"/>
        </w:tabs>
        <w:rPr>
          <w:rFonts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_Toc29139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bidi="ar-SA"/>
        </w:rPr>
        <w:t>收入支出决算总表</w:t>
      </w:r>
      <w:r>
        <w:rPr>
          <w:rFonts w:hint="eastAsia" w:ascii="Times New Roman" w:hAnsi="Times New Roman"/>
          <w:kern w:val="2"/>
          <w:sz w:val="32"/>
          <w:szCs w:val="32"/>
          <w:lang w:val="en-US" w:eastAsia="zh-CN"/>
        </w:rPr>
        <w:t>...............................................................7</w:t>
      </w:r>
      <w:r>
        <w:rPr>
          <w:rFonts w:ascii="Times New Roman" w:hAnsi="Times New Roman" w:eastAsia="宋体"/>
          <w:kern w:val="2"/>
          <w:sz w:val="32"/>
          <w:szCs w:val="32"/>
          <w:lang w:val="en-US" w:eastAsia="zh-CN"/>
        </w:rPr>
        <w:fldChar w:fldCharType="begin"/>
      </w:r>
      <w:r>
        <w:rPr>
          <w:rFonts w:ascii="Times New Roman" w:hAnsi="Times New Roman" w:eastAsia="宋体"/>
          <w:kern w:val="2"/>
          <w:sz w:val="32"/>
          <w:szCs w:val="32"/>
          <w:lang w:val="en-US" w:eastAsia="zh-CN"/>
        </w:rPr>
        <w:instrText xml:space="preserve"> PAGEREF _Toc29139 </w:instrText>
      </w:r>
      <w:r>
        <w:rPr>
          <w:rFonts w:ascii="Times New Roman" w:hAnsi="Times New Roman" w:eastAsia="宋体"/>
          <w:kern w:val="2"/>
          <w:sz w:val="32"/>
          <w:szCs w:val="32"/>
          <w:lang w:val="en-US" w:eastAsia="zh-CN"/>
        </w:rPr>
        <w:fldChar w:fldCharType="separate"/>
      </w:r>
      <w:r>
        <w:rPr>
          <w:rFonts w:ascii="Times New Roman" w:hAnsi="Times New Roman" w:eastAsia="宋体"/>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fldChar w:fldCharType="end"/>
      </w:r>
    </w:p>
    <w:p>
      <w:pPr>
        <w:pStyle w:val="8"/>
        <w:tabs>
          <w:tab w:val="right" w:leader="dot" w:pos="9184"/>
        </w:tabs>
        <w:rPr>
          <w:rFonts w:hint="eastAsia" w:ascii="Times New Roman" w:hAnsi="Times New Roman" w:eastAsia="仿宋_GB2312" w:cs="仿宋_GB2312"/>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_Toc29055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收入决算表</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...........................................................................9</w:t>
      </w:r>
    </w:p>
    <w:p>
      <w:pPr>
        <w:pStyle w:val="8"/>
        <w:tabs>
          <w:tab w:val="right" w:leader="dot" w:pos="9184"/>
        </w:tabs>
        <w:rPr>
          <w:rFonts w:hint="eastAsia" w:ascii="Times New Roman" w:hAnsi="Times New Roman" w:eastAsia="仿宋_GB2312" w:cs="仿宋_GB2312"/>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_Toc5080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支出决算表</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.........................................................................10</w:t>
      </w:r>
    </w:p>
    <w:p>
      <w:pPr>
        <w:rPr>
          <w:rFonts w:hint="eastAsia" w:ascii="Times New Roman" w:hAnsi="Times New Roman" w:eastAsia="仿宋_GB2312" w:cs="仿宋_GB2312"/>
          <w:kern w:val="2"/>
          <w:sz w:val="32"/>
          <w:szCs w:val="32"/>
          <w:lang w:val="en-US" w:eastAsia="zh-CN"/>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财政拨款收入支出决算总表</w:t>
      </w:r>
      <w:r>
        <w:rPr>
          <w:rFonts w:hint="eastAsia" w:ascii="Times New Roman" w:hAnsi="Times New Roman"/>
          <w:kern w:val="2"/>
          <w:sz w:val="32"/>
          <w:szCs w:val="32"/>
          <w:lang w:val="en-US" w:eastAsia="zh-CN" w:bidi="ar-SA"/>
        </w:rPr>
        <w:t>.............................................11</w:t>
      </w:r>
    </w:p>
    <w:p>
      <w:pPr>
        <w:rPr>
          <w:rFonts w:hint="eastAsia" w:ascii="Times New Roman" w:hAnsi="Times New Roman" w:eastAsia="仿宋_GB2312" w:cs="仿宋_GB2312"/>
          <w:kern w:val="2"/>
          <w:sz w:val="32"/>
          <w:szCs w:val="32"/>
          <w:lang w:val="en-US" w:eastAsia="zh-CN"/>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一般公共预算财政拨款支出决算表</w:t>
      </w:r>
      <w:r>
        <w:rPr>
          <w:rFonts w:hint="eastAsia" w:ascii="Times New Roman" w:hAnsi="Times New Roman"/>
          <w:kern w:val="2"/>
          <w:sz w:val="32"/>
          <w:szCs w:val="32"/>
          <w:lang w:val="en-US" w:eastAsia="zh-CN" w:bidi="ar-SA"/>
        </w:rPr>
        <w:t>.................................13</w:t>
      </w:r>
    </w:p>
    <w:p>
      <w:pPr>
        <w:rPr>
          <w:rFonts w:hint="eastAsia" w:ascii="Times New Roman" w:hAnsi="Times New Roman" w:eastAsia="仿宋_GB2312" w:cs="仿宋_GB2312"/>
          <w:kern w:val="2"/>
          <w:sz w:val="32"/>
          <w:szCs w:val="32"/>
          <w:lang w:val="en-US" w:eastAsia="zh-CN"/>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一般公共预算财政拨款基本支出决算表</w:t>
      </w:r>
      <w:r>
        <w:rPr>
          <w:rFonts w:hint="eastAsia" w:ascii="Times New Roman" w:hAnsi="Times New Roman"/>
          <w:kern w:val="2"/>
          <w:sz w:val="32"/>
          <w:szCs w:val="32"/>
          <w:lang w:val="en-US" w:eastAsia="zh-CN" w:bidi="ar-SA"/>
        </w:rPr>
        <w:t>.........................14</w:t>
      </w:r>
    </w:p>
    <w:p>
      <w:pPr>
        <w:rPr>
          <w:rFonts w:hint="eastAsia" w:ascii="Times New Roman" w:hAnsi="Times New Roman" w:eastAsia="宋体"/>
          <w:kern w:val="2"/>
          <w:sz w:val="32"/>
          <w:szCs w:val="32"/>
          <w:lang w:val="en-US" w:eastAsia="zh-CN" w:bidi="ar-SA"/>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一般公共预算财政拨款“三公”经费支出决算表</w:t>
      </w:r>
      <w:r>
        <w:rPr>
          <w:rFonts w:hint="eastAsia" w:ascii="Times New Roman" w:hAnsi="Times New Roman"/>
          <w:kern w:val="2"/>
          <w:sz w:val="32"/>
          <w:szCs w:val="32"/>
          <w:lang w:val="en-US" w:eastAsia="zh-CN" w:bidi="ar-SA"/>
        </w:rPr>
        <w:t>.........15</w:t>
      </w:r>
    </w:p>
    <w:p>
      <w:pPr>
        <w:rPr>
          <w:rFonts w:hint="eastAsia" w:ascii="Times New Roman" w:hAnsi="Times New Roman" w:eastAsia="宋体"/>
          <w:kern w:val="2"/>
          <w:sz w:val="32"/>
          <w:szCs w:val="32"/>
          <w:lang w:val="en-US" w:eastAsia="zh-CN" w:bidi="ar-SA"/>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政府性基金预算财政拨款收入支出决算表</w:t>
      </w:r>
      <w:r>
        <w:rPr>
          <w:rFonts w:hint="eastAsia" w:ascii="Times New Roman" w:hAnsi="Times New Roman"/>
          <w:kern w:val="2"/>
          <w:sz w:val="32"/>
          <w:szCs w:val="32"/>
          <w:lang w:val="en-US" w:eastAsia="zh-CN" w:bidi="ar-SA"/>
        </w:rPr>
        <w:t>.....................17</w:t>
      </w:r>
    </w:p>
    <w:p>
      <w:pPr>
        <w:rPr>
          <w:rFonts w:hint="eastAsia" w:ascii="Times New Roman" w:hAnsi="Times New Roman"/>
          <w:kern w:val="2"/>
          <w:sz w:val="32"/>
          <w:szCs w:val="32"/>
          <w:lang w:val="en-US" w:eastAsia="zh-CN" w:bidi="ar-SA"/>
        </w:rPr>
      </w:pPr>
      <w:r>
        <w:rPr>
          <w:rFonts w:hint="eastAsia" w:ascii="Times New Roman" w:hAnsi="Times New Roman"/>
          <w:kern w:val="2"/>
          <w:sz w:val="32"/>
          <w:szCs w:val="32"/>
          <w:lang w:val="en-US" w:eastAsia="zh-CN" w:bidi="ar-SA"/>
        </w:rPr>
        <w:t xml:space="preserve">   </w:t>
      </w:r>
      <w:r>
        <w:rPr>
          <w:rFonts w:hint="eastAsia" w:ascii="Times New Roman" w:hAnsi="Times New Roman" w:eastAsia="宋体"/>
          <w:kern w:val="2"/>
          <w:sz w:val="32"/>
          <w:szCs w:val="32"/>
          <w:lang w:val="en-US" w:eastAsia="zh-CN" w:bidi="ar-SA"/>
        </w:rPr>
        <w:t>国有资本经营预算财政拨款支出决算表</w:t>
      </w:r>
      <w:r>
        <w:rPr>
          <w:rFonts w:hint="eastAsia" w:ascii="Times New Roman" w:hAnsi="Times New Roman"/>
          <w:kern w:val="2"/>
          <w:sz w:val="32"/>
          <w:szCs w:val="32"/>
          <w:lang w:val="en-US" w:eastAsia="zh-CN" w:bidi="ar-SA"/>
        </w:rPr>
        <w:t>.........................18</w:t>
      </w:r>
    </w:p>
    <w:p>
      <w:pPr>
        <w:rPr>
          <w:rFonts w:hint="default" w:ascii="Times New Roman" w:hAnsi="Times New Roman" w:eastAsia="仿宋_GB2312" w:cs="仿宋_GB2312"/>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_Toc6544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第三部分</w:t>
      </w:r>
      <w:r>
        <w:rPr>
          <w:rFonts w:hint="eastAsia" w:ascii="Times New Roman" w:hAnsi="Times New Roman"/>
          <w:kern w:val="2"/>
          <w:sz w:val="32"/>
          <w:szCs w:val="32"/>
          <w:lang w:val="en-US" w:eastAsia="zh-CN"/>
        </w:rPr>
        <w:t xml:space="preserve"> 2020</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_Toc13467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年度部门决算</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_Toc12273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情况说明</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................................19</w:t>
      </w:r>
    </w:p>
    <w:p>
      <w:pPr>
        <w:pStyle w:val="7"/>
        <w:tabs>
          <w:tab w:val="right" w:leader="dot" w:pos="9184"/>
        </w:tabs>
        <w:ind w:firstLine="320" w:firstLineChars="100"/>
        <w:rPr>
          <w:rFonts w:hint="default"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_Toc16323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一、收入支出决算总体情况说明</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.....................................20</w:t>
      </w:r>
    </w:p>
    <w:p>
      <w:pPr>
        <w:pStyle w:val="8"/>
        <w:tabs>
          <w:tab w:val="right" w:leader="dot" w:pos="9184"/>
        </w:tabs>
        <w:ind w:left="0" w:leftChars="0" w:firstLine="320" w:firstLineChars="100"/>
        <w:rPr>
          <w:rFonts w:hint="default"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_Toc19905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zh-CN" w:eastAsia="zh-CN"/>
        </w:rPr>
        <w:t>二、</w:t>
      </w:r>
      <w:r>
        <w:rPr>
          <w:rFonts w:hint="eastAsia" w:ascii="Times New Roman" w:hAnsi="Times New Roman" w:eastAsia="宋体"/>
          <w:kern w:val="2"/>
          <w:sz w:val="32"/>
          <w:szCs w:val="32"/>
          <w:lang w:val="en-US" w:eastAsia="zh-CN"/>
        </w:rPr>
        <w:t>收入决算情况说明</w:t>
      </w:r>
      <w:r>
        <w:rPr>
          <w:rFonts w:hint="eastAsia" w:ascii="Times New Roman" w:hAnsi="Times New Roman"/>
          <w:kern w:val="2"/>
          <w:sz w:val="32"/>
          <w:szCs w:val="32"/>
          <w:lang w:val="en-US" w:eastAsia="zh-CN"/>
        </w:rPr>
        <w:t>.....................................................2</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1</w:t>
      </w:r>
    </w:p>
    <w:p>
      <w:pPr>
        <w:pStyle w:val="8"/>
        <w:tabs>
          <w:tab w:val="right" w:leader="dot" w:pos="9184"/>
        </w:tabs>
        <w:ind w:left="0" w:leftChars="0" w:firstLine="320" w:firstLineChars="100"/>
        <w:rPr>
          <w:rFonts w:hint="default"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_Toc25241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zh-CN" w:eastAsia="zh-CN"/>
        </w:rPr>
        <w:t>三、</w:t>
      </w:r>
      <w:r>
        <w:rPr>
          <w:rFonts w:hint="eastAsia" w:ascii="Times New Roman" w:hAnsi="Times New Roman" w:eastAsia="宋体"/>
          <w:kern w:val="2"/>
          <w:sz w:val="32"/>
          <w:szCs w:val="32"/>
          <w:lang w:val="en-US" w:eastAsia="zh-CN"/>
        </w:rPr>
        <w:t>支出决算情况说明</w:t>
      </w:r>
      <w:r>
        <w:rPr>
          <w:rFonts w:hint="eastAsia" w:ascii="Times New Roman" w:hAnsi="Times New Roman"/>
          <w:kern w:val="2"/>
          <w:sz w:val="32"/>
          <w:szCs w:val="32"/>
          <w:lang w:val="en-US" w:eastAsia="zh-CN"/>
        </w:rPr>
        <w:t>.....................................................2</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2</w:t>
      </w:r>
    </w:p>
    <w:p>
      <w:pPr>
        <w:pStyle w:val="8"/>
        <w:tabs>
          <w:tab w:val="right" w:leader="dot" w:pos="9184"/>
        </w:tabs>
        <w:ind w:left="0" w:leftChars="0" w:firstLine="320" w:firstLineChars="100"/>
        <w:rPr>
          <w:rFonts w:hint="default"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_Toc8861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kern w:val="2"/>
          <w:sz w:val="32"/>
          <w:szCs w:val="32"/>
          <w:lang w:val="en-US" w:eastAsia="zh-CN"/>
        </w:rPr>
        <w:t>四</w:t>
      </w:r>
      <w:r>
        <w:rPr>
          <w:rFonts w:hint="eastAsia" w:ascii="Times New Roman" w:hAnsi="Times New Roman" w:eastAsia="宋体"/>
          <w:kern w:val="2"/>
          <w:sz w:val="32"/>
          <w:szCs w:val="32"/>
          <w:lang w:val="en-US" w:eastAsia="zh-CN"/>
        </w:rPr>
        <w:t>、其他重要事项的情况说明</w:t>
      </w:r>
      <w:r>
        <w:rPr>
          <w:rFonts w:hint="eastAsia" w:ascii="Times New Roman" w:hAnsi="Times New Roman"/>
          <w:kern w:val="2"/>
          <w:sz w:val="32"/>
          <w:szCs w:val="32"/>
          <w:lang w:val="en-US" w:eastAsia="zh-CN"/>
        </w:rPr>
        <w:t>.........................................2</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3</w:t>
      </w:r>
    </w:p>
    <w:p>
      <w:pPr>
        <w:pStyle w:val="7"/>
        <w:tabs>
          <w:tab w:val="right" w:leader="dot" w:pos="9184"/>
        </w:tabs>
        <w:rPr>
          <w:rFonts w:hint="default" w:ascii="Times New Roman" w:hAnsi="Times New Roman" w:eastAsia="宋体"/>
          <w:kern w:val="2"/>
          <w:sz w:val="32"/>
          <w:szCs w:val="32"/>
          <w:lang w:val="en-US" w:eastAsia="zh-CN"/>
        </w:rPr>
      </w:pPr>
      <w:r>
        <w:rPr>
          <w:rFonts w:hint="eastAsia" w:ascii="Times New Roman" w:hAnsi="Times New Roman" w:eastAsia="仿宋_GB2312" w:cs="仿宋_GB2312"/>
          <w:kern w:val="2"/>
          <w:sz w:val="32"/>
          <w:szCs w:val="32"/>
          <w:lang w:val="en-US" w:eastAsia="zh-CN"/>
        </w:rPr>
        <w:fldChar w:fldCharType="begin"/>
      </w:r>
      <w:r>
        <w:rPr>
          <w:rFonts w:hint="eastAsia" w:ascii="Times New Roman" w:hAnsi="Times New Roman" w:eastAsia="仿宋_GB2312" w:cs="仿宋_GB2312"/>
          <w:kern w:val="2"/>
          <w:sz w:val="32"/>
          <w:szCs w:val="32"/>
          <w:lang w:val="en-US" w:eastAsia="zh-CN"/>
        </w:rPr>
        <w:instrText xml:space="preserve"> HYPERLINK \l _Toc16537 </w:instrText>
      </w:r>
      <w:r>
        <w:rPr>
          <w:rFonts w:hint="eastAsia" w:ascii="Times New Roman" w:hAnsi="Times New Roman" w:eastAsia="仿宋_GB2312" w:cs="仿宋_GB2312"/>
          <w:kern w:val="2"/>
          <w:sz w:val="32"/>
          <w:szCs w:val="32"/>
          <w:lang w:val="en-US" w:eastAsia="zh-CN"/>
        </w:rPr>
        <w:fldChar w:fldCharType="separate"/>
      </w:r>
      <w:r>
        <w:rPr>
          <w:rFonts w:hint="eastAsia" w:ascii="Times New Roman" w:hAnsi="Times New Roman" w:eastAsia="宋体"/>
          <w:kern w:val="2"/>
          <w:sz w:val="32"/>
          <w:szCs w:val="32"/>
          <w:lang w:val="en-US" w:eastAsia="zh-CN"/>
        </w:rPr>
        <w:t>第四部分</w:t>
      </w:r>
      <w:r>
        <w:rPr>
          <w:rFonts w:hint="eastAsia" w:ascii="Times New Roman" w:hAnsi="Times New Roman"/>
          <w:kern w:val="2"/>
          <w:sz w:val="32"/>
          <w:szCs w:val="32"/>
          <w:lang w:val="en-US" w:eastAsia="zh-CN"/>
        </w:rPr>
        <w:t xml:space="preserve"> </w:t>
      </w:r>
      <w:r>
        <w:rPr>
          <w:rFonts w:hint="eastAsia" w:ascii="Times New Roman" w:hAnsi="Times New Roman" w:eastAsia="宋体"/>
          <w:kern w:val="2"/>
          <w:sz w:val="32"/>
          <w:szCs w:val="32"/>
          <w:lang w:val="en-US" w:eastAsia="zh-CN"/>
        </w:rPr>
        <w:t>名词解释</w:t>
      </w:r>
      <w:r>
        <w:rPr>
          <w:rFonts w:hint="eastAsia" w:ascii="Times New Roman" w:hAnsi="Times New Roman"/>
          <w:kern w:val="2"/>
          <w:sz w:val="32"/>
          <w:szCs w:val="32"/>
          <w:lang w:val="en-US" w:eastAsia="zh-CN"/>
        </w:rPr>
        <w:t>.................................................................2</w:t>
      </w:r>
      <w:r>
        <w:rPr>
          <w:rFonts w:hint="eastAsia" w:ascii="Times New Roman" w:hAnsi="Times New Roman" w:eastAsia="仿宋_GB2312" w:cs="仿宋_GB2312"/>
          <w:kern w:val="2"/>
          <w:sz w:val="32"/>
          <w:szCs w:val="32"/>
          <w:lang w:val="en-US" w:eastAsia="zh-CN"/>
        </w:rPr>
        <w:fldChar w:fldCharType="end"/>
      </w:r>
      <w:r>
        <w:rPr>
          <w:rFonts w:hint="eastAsia" w:ascii="Times New Roman" w:hAnsi="Times New Roman" w:eastAsia="仿宋_GB2312" w:cs="仿宋_GB2312"/>
          <w:kern w:val="2"/>
          <w:sz w:val="32"/>
          <w:szCs w:val="32"/>
          <w:lang w:val="en-US" w:eastAsia="zh-CN"/>
        </w:rPr>
        <w:t>4</w:t>
      </w:r>
    </w:p>
    <w:p>
      <w:pPr>
        <w:rPr>
          <w:rFonts w:ascii="Times New Roman" w:hAnsi="Times New Roman"/>
          <w:sz w:val="32"/>
          <w:szCs w:val="32"/>
          <w:lang w:val="en-US" w:eastAsia="zh-CN"/>
        </w:rPr>
      </w:pPr>
      <w:r>
        <w:rPr>
          <w:rFonts w:ascii="Times New Roman" w:hAnsi="Times New Roman" w:eastAsia="宋体"/>
          <w:kern w:val="2"/>
          <w:sz w:val="32"/>
          <w:szCs w:val="32"/>
          <w:lang w:val="en-US" w:eastAsia="zh-CN"/>
        </w:rPr>
        <w:tab/>
      </w:r>
      <w:r>
        <w:rPr>
          <w:rFonts w:ascii="Times New Roman" w:hAnsi="Times New Roman" w:eastAsia="宋体"/>
          <w:kern w:val="2"/>
          <w:sz w:val="32"/>
          <w:szCs w:val="32"/>
          <w:lang w:val="en-US" w:eastAsia="zh-CN"/>
        </w:rPr>
        <w:tab/>
      </w:r>
    </w:p>
    <w:p>
      <w:pPr>
        <w:rPr>
          <w:rFonts w:hint="eastAsia" w:ascii="仿宋_GB2312" w:hAnsi="宋体" w:eastAsia="仿宋_GB2312"/>
          <w:sz w:val="32"/>
          <w:szCs w:val="32"/>
          <w:lang w:val="en-US" w:eastAsia="zh-CN"/>
        </w:rPr>
      </w:pPr>
    </w:p>
    <w:p>
      <w:pPr>
        <w:pStyle w:val="4"/>
        <w:rPr>
          <w:rFonts w:hint="eastAsia"/>
          <w:lang w:val="en-US" w:eastAsia="zh-CN"/>
        </w:rPr>
      </w:pPr>
    </w:p>
    <w:p>
      <w:pPr>
        <w:snapToGrid w:val="0"/>
        <w:spacing w:line="360" w:lineRule="auto"/>
        <w:ind w:firstLine="640" w:firstLineChars="200"/>
        <w:jc w:val="center"/>
        <w:rPr>
          <w:rFonts w:hint="eastAsia" w:ascii="仿宋_GB2312" w:hAnsi="宋体" w:eastAsia="仿宋_GB2312"/>
          <w:sz w:val="32"/>
          <w:szCs w:val="32"/>
          <w:lang w:val="en-US" w:eastAsia="zh-CN"/>
        </w:rPr>
      </w:pPr>
    </w:p>
    <w:p>
      <w:pPr>
        <w:snapToGrid w:val="0"/>
        <w:spacing w:line="360" w:lineRule="auto"/>
        <w:ind w:firstLine="640" w:firstLineChars="200"/>
        <w:jc w:val="center"/>
        <w:rPr>
          <w:rFonts w:hint="eastAsia" w:ascii="仿宋_GB2312" w:hAnsi="宋体" w:eastAsia="仿宋_GB2312"/>
          <w:sz w:val="32"/>
          <w:szCs w:val="32"/>
          <w:lang w:val="en-US" w:eastAsia="zh-CN"/>
        </w:rPr>
      </w:pPr>
    </w:p>
    <w:bookmarkEnd w:id="0"/>
    <w:p>
      <w:pPr>
        <w:rPr>
          <w:rFonts w:hint="eastAsia" w:ascii="Times New Roman" w:hAnsi="Times New Roman"/>
          <w:sz w:val="72"/>
          <w:szCs w:val="72"/>
          <w:lang w:val="en-US" w:eastAsia="zh-CN"/>
        </w:rPr>
      </w:pPr>
    </w:p>
    <w:p>
      <w:pPr>
        <w:pStyle w:val="2"/>
        <w:rPr>
          <w:rFonts w:hint="eastAsia" w:ascii="Times New Roman" w:hAnsi="Times New Roman"/>
          <w:sz w:val="72"/>
          <w:szCs w:val="72"/>
          <w:lang w:val="en-US" w:eastAsia="zh-CN"/>
        </w:rPr>
      </w:pPr>
      <w:r>
        <w:rPr>
          <w:rFonts w:hint="eastAsia" w:ascii="Times New Roman" w:hAnsi="Times New Roman"/>
          <w:sz w:val="72"/>
          <w:szCs w:val="72"/>
          <w:lang w:val="en-US" w:eastAsia="zh-CN"/>
        </w:rPr>
        <w:t xml:space="preserve">第一部分 </w:t>
      </w:r>
    </w:p>
    <w:p>
      <w:pPr>
        <w:pStyle w:val="2"/>
        <w:rPr>
          <w:rFonts w:hint="eastAsia" w:ascii="Times New Roman" w:hAnsi="Times New Roman"/>
          <w:sz w:val="72"/>
          <w:szCs w:val="72"/>
          <w:lang w:val="en-US" w:eastAsia="zh-CN"/>
        </w:rPr>
      </w:pPr>
      <w:r>
        <w:rPr>
          <w:rFonts w:hint="eastAsia"/>
          <w:sz w:val="72"/>
          <w:szCs w:val="72"/>
          <w:lang w:val="en-US" w:eastAsia="zh-CN"/>
        </w:rPr>
        <w:t>单位</w:t>
      </w:r>
      <w:r>
        <w:rPr>
          <w:rFonts w:hint="eastAsia" w:ascii="Times New Roman" w:hAnsi="Times New Roman"/>
          <w:sz w:val="72"/>
          <w:szCs w:val="72"/>
          <w:lang w:val="en-US" w:eastAsia="zh-CN"/>
        </w:rPr>
        <w:t xml:space="preserve">概况 </w:t>
      </w: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rPr>
          <w:rFonts w:hint="eastAsia" w:ascii="Times New Roman" w:hAnsi="Times New Roman"/>
          <w:sz w:val="72"/>
          <w:szCs w:val="72"/>
          <w:lang w:val="en-US" w:eastAsia="zh-CN"/>
        </w:rPr>
      </w:pPr>
    </w:p>
    <w:p>
      <w:pPr>
        <w:snapToGrid w:val="0"/>
        <w:spacing w:line="360" w:lineRule="auto"/>
        <w:ind w:firstLine="640" w:firstLineChars="200"/>
        <w:rPr>
          <w:rFonts w:hint="eastAsia" w:ascii="仿宋_GB2312" w:hAnsi="宋体" w:eastAsia="仿宋_GB2312"/>
          <w:sz w:val="32"/>
          <w:szCs w:val="32"/>
          <w:lang w:val="en-US" w:eastAsia="zh-CN"/>
        </w:rPr>
      </w:pPr>
    </w:p>
    <w:p>
      <w:pPr>
        <w:snapToGrid w:val="0"/>
        <w:spacing w:line="360" w:lineRule="auto"/>
        <w:ind w:firstLine="640" w:firstLineChars="200"/>
        <w:rPr>
          <w:rFonts w:hint="eastAsia" w:ascii="仿宋_GB2312" w:hAnsi="宋体" w:eastAsia="仿宋_GB2312"/>
          <w:sz w:val="32"/>
          <w:szCs w:val="32"/>
          <w:lang w:val="en-US" w:eastAsia="zh-CN"/>
        </w:rPr>
      </w:pPr>
    </w:p>
    <w:p>
      <w:pPr>
        <w:snapToGrid w:val="0"/>
        <w:spacing w:line="360" w:lineRule="auto"/>
        <w:ind w:firstLine="640" w:firstLineChars="200"/>
        <w:rPr>
          <w:rFonts w:hint="eastAsia" w:ascii="仿宋_GB2312" w:hAnsi="宋体" w:eastAsia="仿宋_GB2312"/>
          <w:sz w:val="32"/>
          <w:szCs w:val="32"/>
          <w:lang w:val="en-US" w:eastAsia="zh-CN"/>
        </w:rPr>
      </w:pPr>
    </w:p>
    <w:p>
      <w:pPr>
        <w:snapToGrid w:val="0"/>
        <w:spacing w:line="360" w:lineRule="auto"/>
        <w:ind w:firstLine="640" w:firstLineChars="200"/>
        <w:rPr>
          <w:rFonts w:hint="eastAsia" w:ascii="仿宋_GB2312" w:hAnsi="宋体" w:eastAsia="仿宋_GB2312"/>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一、单位介绍</w:t>
      </w:r>
    </w:p>
    <w:p>
      <w:pPr>
        <w:snapToGrid w:val="0"/>
        <w:spacing w:line="360" w:lineRule="auto"/>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工业和信息化部信息中心于2009年11月在原信息产业部邮电信息中心的基础上组建成立，是自收自支性质的部属二级预算单位。2019年更名为工业和信息化部网络安全产业发展中心（工业和信息化部信息中心），注册地址为西城区西长安街13号。</w:t>
      </w:r>
    </w:p>
    <w:p>
      <w:pPr>
        <w:snapToGrid w:val="0"/>
        <w:spacing w:line="360" w:lineRule="auto"/>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信息中心主要职责是为工信部电子政务工作提供技术服务，业务范围包括：工业和通信业信息统计与分析；部电子政务网络及应用系统建设；部基础网络及应用系统运行维护和相关设备的采购；电子政务网络与信息安全技术保障；部内外网门户网站运行工作；部微信微博运行；信息化相关培训等工作。</w:t>
      </w: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p>
    <w:p>
      <w:pPr>
        <w:snapToGrid w:val="0"/>
        <w:spacing w:line="360" w:lineRule="auto"/>
        <w:ind w:firstLine="643" w:firstLineChars="20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二、机构设置</w:t>
      </w:r>
    </w:p>
    <w:p>
      <w:pPr>
        <w:snapToGrid w:val="0"/>
        <w:spacing w:line="360" w:lineRule="auto"/>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根据三定方案信息中心内设综合处室1个，即综合处，业务处室5个，即统计分析处、工程建设处、运行维护处、安全保障处、业务发展处，共6个处室。</w:t>
      </w:r>
    </w:p>
    <w:p>
      <w:pPr>
        <w:pStyle w:val="4"/>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pStyle w:val="4"/>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rPr>
          <w:rFonts w:hint="eastAsia" w:ascii="仿宋_GB2312" w:hAnsi="宋体" w:eastAsia="仿宋_GB2312"/>
          <w:sz w:val="32"/>
          <w:szCs w:val="32"/>
          <w:lang w:val="en-US" w:eastAsia="zh-CN"/>
        </w:rPr>
      </w:pPr>
    </w:p>
    <w:p>
      <w:pPr>
        <w:pStyle w:val="2"/>
        <w:rPr>
          <w:rFonts w:hint="eastAsia" w:ascii="Times New Roman" w:hAnsi="Times New Roman"/>
          <w:sz w:val="72"/>
          <w:szCs w:val="72"/>
          <w:lang w:eastAsia="zh-CN"/>
        </w:rPr>
      </w:pPr>
      <w:bookmarkStart w:id="1" w:name="_Toc24266"/>
      <w:bookmarkStart w:id="2" w:name="_Toc32186"/>
      <w:bookmarkStart w:id="3" w:name="_Toc23792"/>
      <w:r>
        <w:rPr>
          <w:rFonts w:hint="eastAsia" w:ascii="Times New Roman" w:hAnsi="Times New Roman"/>
          <w:sz w:val="72"/>
          <w:szCs w:val="72"/>
          <w:lang w:eastAsia="zh-CN"/>
        </w:rPr>
        <w:t>第二部分</w:t>
      </w:r>
      <w:bookmarkEnd w:id="1"/>
      <w:bookmarkEnd w:id="2"/>
      <w:bookmarkEnd w:id="3"/>
    </w:p>
    <w:p>
      <w:pPr>
        <w:pStyle w:val="2"/>
        <w:rPr>
          <w:rFonts w:hint="eastAsia" w:ascii="Times New Roman" w:hAnsi="Times New Roman"/>
          <w:sz w:val="72"/>
          <w:szCs w:val="72"/>
          <w:lang w:val="en-US" w:eastAsia="zh-CN"/>
        </w:rPr>
      </w:pPr>
      <w:bookmarkStart w:id="4" w:name="_Toc8389"/>
      <w:bookmarkStart w:id="5" w:name="_Toc5649"/>
      <w:r>
        <w:rPr>
          <w:rFonts w:hint="eastAsia" w:ascii="Times New Roman" w:hAnsi="Times New Roman"/>
          <w:sz w:val="72"/>
          <w:szCs w:val="72"/>
          <w:lang w:val="en-US" w:eastAsia="zh-CN"/>
        </w:rPr>
        <w:t>20</w:t>
      </w:r>
      <w:r>
        <w:rPr>
          <w:rFonts w:hint="eastAsia"/>
          <w:sz w:val="72"/>
          <w:szCs w:val="72"/>
          <w:lang w:val="en-US" w:eastAsia="zh-CN"/>
        </w:rPr>
        <w:t>20</w:t>
      </w:r>
      <w:r>
        <w:rPr>
          <w:rFonts w:hint="eastAsia" w:ascii="Times New Roman" w:hAnsi="Times New Roman"/>
          <w:sz w:val="72"/>
          <w:szCs w:val="72"/>
          <w:lang w:val="en-US" w:eastAsia="zh-CN"/>
        </w:rPr>
        <w:t>年度部门决算报表</w:t>
      </w:r>
      <w:bookmarkEnd w:id="4"/>
      <w:bookmarkEnd w:id="5"/>
    </w:p>
    <w:p>
      <w:pPr>
        <w:rPr>
          <w:rFonts w:hint="eastAsia" w:ascii="Times New Roman" w:hAnsi="Times New Roman" w:eastAsia="黑体"/>
          <w:b w:val="0"/>
          <w:kern w:val="44"/>
          <w:sz w:val="72"/>
          <w:szCs w:val="72"/>
          <w:lang w:val="en-US" w:eastAsia="zh-CN" w:bidi="ar-SA"/>
        </w:rPr>
      </w:pPr>
    </w:p>
    <w:p>
      <w:pPr>
        <w:pStyle w:val="4"/>
        <w:rPr>
          <w:rFonts w:hint="eastAsia" w:ascii="Times New Roman" w:hAnsi="Times New Roman" w:eastAsia="黑体"/>
          <w:b w:val="0"/>
          <w:kern w:val="44"/>
          <w:sz w:val="72"/>
          <w:szCs w:val="72"/>
          <w:lang w:val="en-US" w:eastAsia="zh-CN" w:bidi="ar-SA"/>
        </w:rPr>
      </w:pPr>
    </w:p>
    <w:p>
      <w:pPr>
        <w:rPr>
          <w:rFonts w:hint="eastAsia" w:ascii="Times New Roman" w:hAnsi="Times New Roman" w:eastAsia="黑体"/>
          <w:b w:val="0"/>
          <w:kern w:val="44"/>
          <w:sz w:val="72"/>
          <w:szCs w:val="72"/>
          <w:lang w:val="en-US" w:eastAsia="zh-CN" w:bidi="ar-SA"/>
        </w:rPr>
      </w:pPr>
    </w:p>
    <w:p>
      <w:pPr>
        <w:rPr>
          <w:rFonts w:hint="eastAsia" w:ascii="Times New Roman" w:hAnsi="Times New Roman" w:eastAsia="黑体"/>
          <w:b w:val="0"/>
          <w:kern w:val="44"/>
          <w:sz w:val="72"/>
          <w:szCs w:val="72"/>
          <w:lang w:val="en-US" w:eastAsia="zh-CN" w:bidi="ar-SA"/>
        </w:rPr>
        <w:sectPr>
          <w:footerReference r:id="rId6" w:type="default"/>
          <w:pgSz w:w="11907" w:h="16840"/>
          <w:pgMar w:top="1440" w:right="1797" w:bottom="1440" w:left="1797" w:header="851" w:footer="992" w:gutter="0"/>
          <w:pgNumType w:fmt="decimal"/>
          <w:cols w:space="720" w:num="1"/>
          <w:docGrid w:type="lines" w:linePitch="312" w:charSpace="0"/>
        </w:sect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29"/>
        <w:gridCol w:w="477"/>
        <w:gridCol w:w="2957"/>
        <w:gridCol w:w="2329"/>
        <w:gridCol w:w="477"/>
        <w:gridCol w:w="952"/>
        <w:gridCol w:w="883"/>
        <w:gridCol w:w="2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04" w:type="dxa"/>
            <w:gridSpan w:val="8"/>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829" w:type="dxa"/>
            <w:noWrap w:val="0"/>
            <w:vAlign w:val="bottom"/>
          </w:tcPr>
          <w:p>
            <w:pPr>
              <w:rPr>
                <w:rFonts w:hint="eastAsia" w:ascii="Arial" w:hAnsi="Arial" w:cs="Arial"/>
                <w:i w:val="0"/>
                <w:color w:val="000000"/>
                <w:sz w:val="20"/>
                <w:szCs w:val="20"/>
                <w:u w:val="none"/>
              </w:rPr>
            </w:pPr>
          </w:p>
        </w:tc>
        <w:tc>
          <w:tcPr>
            <w:tcW w:w="477" w:type="dxa"/>
            <w:noWrap w:val="0"/>
            <w:vAlign w:val="bottom"/>
          </w:tcPr>
          <w:p>
            <w:pPr>
              <w:rPr>
                <w:rFonts w:hint="eastAsia" w:ascii="Arial" w:hAnsi="Arial" w:cs="Arial"/>
                <w:i w:val="0"/>
                <w:color w:val="000000"/>
                <w:sz w:val="20"/>
                <w:szCs w:val="20"/>
                <w:u w:val="none"/>
              </w:rPr>
            </w:pPr>
          </w:p>
        </w:tc>
        <w:tc>
          <w:tcPr>
            <w:tcW w:w="2957" w:type="dxa"/>
            <w:noWrap w:val="0"/>
            <w:vAlign w:val="bottom"/>
          </w:tcPr>
          <w:p>
            <w:pPr>
              <w:rPr>
                <w:rFonts w:hint="eastAsia" w:ascii="Arial" w:hAnsi="Arial" w:cs="Arial"/>
                <w:i w:val="0"/>
                <w:color w:val="000000"/>
                <w:sz w:val="20"/>
                <w:szCs w:val="20"/>
                <w:u w:val="none"/>
              </w:rPr>
            </w:pPr>
          </w:p>
        </w:tc>
        <w:tc>
          <w:tcPr>
            <w:tcW w:w="2329" w:type="dxa"/>
            <w:noWrap w:val="0"/>
            <w:vAlign w:val="bottom"/>
          </w:tcPr>
          <w:p>
            <w:pPr>
              <w:rPr>
                <w:rFonts w:hint="eastAsia" w:ascii="Arial" w:hAnsi="Arial" w:cs="Arial"/>
                <w:i w:val="0"/>
                <w:color w:val="000000"/>
                <w:sz w:val="20"/>
                <w:szCs w:val="20"/>
                <w:u w:val="none"/>
              </w:rPr>
            </w:pPr>
          </w:p>
        </w:tc>
        <w:tc>
          <w:tcPr>
            <w:tcW w:w="477" w:type="dxa"/>
            <w:noWrap w:val="0"/>
            <w:vAlign w:val="bottom"/>
          </w:tcPr>
          <w:p>
            <w:pPr>
              <w:rPr>
                <w:rFonts w:hint="eastAsia" w:ascii="Arial" w:hAnsi="Arial" w:cs="Arial"/>
                <w:i w:val="0"/>
                <w:color w:val="000000"/>
                <w:sz w:val="20"/>
                <w:szCs w:val="20"/>
                <w:u w:val="none"/>
              </w:rPr>
            </w:pPr>
          </w:p>
        </w:tc>
        <w:tc>
          <w:tcPr>
            <w:tcW w:w="4635"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92" w:type="dxa"/>
            <w:gridSpan w:val="4"/>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477" w:type="dxa"/>
            <w:noWrap w:val="0"/>
            <w:vAlign w:val="bottom"/>
          </w:tcPr>
          <w:p>
            <w:pPr>
              <w:rPr>
                <w:rFonts w:hint="eastAsia" w:ascii="Arial" w:hAnsi="Arial" w:cs="Arial"/>
                <w:i w:val="0"/>
                <w:color w:val="000000"/>
                <w:sz w:val="20"/>
                <w:szCs w:val="20"/>
                <w:u w:val="none"/>
              </w:rPr>
            </w:pPr>
          </w:p>
        </w:tc>
        <w:tc>
          <w:tcPr>
            <w:tcW w:w="4635"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63"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7441" w:type="dxa"/>
            <w:gridSpan w:val="5"/>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295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375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28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77" w:type="dxa"/>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95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75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883" w:type="dxa"/>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8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一、一般公共预算财政拨款收入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一、一般公共服务支出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32</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二、政府性基金预算财政拨款收入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二、外交支出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33</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三、国有资本经营预算财政拨款收入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三、国防支出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四、上级补助收入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四、公共安全支出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35</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五、事业收入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3,478.54</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五、教育支出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六、经营收入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1,240.05</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六、科学技术支出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37</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七、附属单位上缴收入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七、文化旅游体育与传媒支出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38</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八、其他收入</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23.65</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八、社会保障和就业支出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九、卫生健康支出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40</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十、节能环保支出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十一、城乡社区支出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42</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十二、农林水支出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43</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13</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十三、交通运输支出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44</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14</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十四、资源勘探工业信息等支出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45</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15</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十五、商业服务业等支出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46</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16</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十六、金融支出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17</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十七、援助其他地区支出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48</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18</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十八、自然资源海洋气象等支出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49</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19</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十九、住房保障支出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50</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二十、粮油物资储备支出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二十一、国有资本经营预算支出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22</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二十二、灾害防治及应急管理支出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53</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二十三、其他支出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54</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b/>
                <w:i w:val="0"/>
                <w:color w:val="000000"/>
                <w:sz w:val="20"/>
                <w:szCs w:val="20"/>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24</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0"/>
                <w:szCs w:val="20"/>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二十四、债务还本支出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55</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25</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0"/>
                <w:szCs w:val="20"/>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二十五、债务付息支出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0"/>
                <w:szCs w:val="20"/>
                <w:u w:val="none"/>
              </w:rPr>
            </w:pP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二十六、抗疫特别国债安排的支出</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57</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本年收入合计</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27</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4,742.24</w:t>
            </w:r>
          </w:p>
        </w:tc>
        <w:tc>
          <w:tcPr>
            <w:tcW w:w="375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本年支出合计</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58</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使用非财政拨款结余</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28</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结余分配</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59</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年初结转和结余</w:t>
            </w: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3,603.30</w:t>
            </w:r>
          </w:p>
        </w:tc>
        <w:tc>
          <w:tcPr>
            <w:tcW w:w="3758" w:type="dxa"/>
            <w:gridSpan w:val="3"/>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年末结转和结余</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60</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w:t>
            </w:r>
          </w:p>
        </w:tc>
        <w:tc>
          <w:tcPr>
            <w:tcW w:w="2957"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758" w:type="dxa"/>
            <w:gridSpan w:val="3"/>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61</w:t>
            </w:r>
          </w:p>
        </w:tc>
        <w:tc>
          <w:tcPr>
            <w:tcW w:w="280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9"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77" w:type="dxa"/>
            <w:tcBorders>
              <w:bottom w:val="single" w:color="000000" w:sz="12"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w:t>
            </w:r>
          </w:p>
        </w:tc>
        <w:tc>
          <w:tcPr>
            <w:tcW w:w="2957" w:type="dxa"/>
            <w:tcBorders>
              <w:bottom w:val="single" w:color="000000" w:sz="4" w:space="0"/>
              <w:right w:val="single" w:color="000000" w:sz="4" w:space="0"/>
            </w:tcBorders>
            <w:shd w:val="clear" w:color="auto" w:fill="auto"/>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8,345.54</w:t>
            </w:r>
          </w:p>
        </w:tc>
        <w:tc>
          <w:tcPr>
            <w:tcW w:w="375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8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62</w:t>
            </w:r>
          </w:p>
        </w:tc>
        <w:tc>
          <w:tcPr>
            <w:tcW w:w="2800"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8,345.54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04" w:type="dxa"/>
            <w:gridSpan w:val="8"/>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注：本表反映部门本年度的总收支和年末结转结余情况。本套报表金额单位转换时可能存在尾数误差。</w:t>
            </w:r>
          </w:p>
        </w:tc>
      </w:tr>
    </w:tbl>
    <w:p>
      <w:pPr>
        <w:rPr>
          <w:rFonts w:hint="eastAsia" w:ascii="Times New Roman" w:hAnsi="Times New Roman" w:eastAsia="黑体"/>
          <w:b w:val="0"/>
          <w:kern w:val="44"/>
          <w:sz w:val="72"/>
          <w:szCs w:val="72"/>
          <w:lang w:val="en-US" w:eastAsia="zh-CN" w:bidi="ar-SA"/>
        </w:rPr>
      </w:pPr>
    </w:p>
    <w:p>
      <w:pPr>
        <w:rPr>
          <w:sz w:val="15"/>
          <w:szCs w:val="15"/>
        </w:rPr>
      </w:pPr>
    </w:p>
    <w:p>
      <w:pPr>
        <w:jc w:val="center"/>
        <w:rPr>
          <w:rFonts w:hint="eastAsia"/>
          <w:b/>
          <w:bCs/>
          <w:sz w:val="44"/>
          <w:szCs w:val="44"/>
          <w:lang w:eastAsia="zh-CN"/>
        </w:rPr>
        <w:sectPr>
          <w:pgSz w:w="16840" w:h="11907" w:orient="landscape"/>
          <w:pgMar w:top="1797" w:right="1440" w:bottom="1797" w:left="1440" w:header="851" w:footer="992" w:gutter="0"/>
          <w:paperSrc/>
          <w:pgNumType w:fmt="decimal"/>
          <w:cols w:space="720" w:num="1"/>
          <w:rtlGutter w:val="0"/>
          <w:docGrid w:type="lines" w:linePitch="319" w:charSpace="0"/>
        </w:sect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1"/>
        <w:gridCol w:w="541"/>
        <w:gridCol w:w="541"/>
        <w:gridCol w:w="263"/>
        <w:gridCol w:w="278"/>
        <w:gridCol w:w="542"/>
        <w:gridCol w:w="1097"/>
        <w:gridCol w:w="1098"/>
        <w:gridCol w:w="285"/>
        <w:gridCol w:w="1077"/>
        <w:gridCol w:w="564"/>
        <w:gridCol w:w="564"/>
        <w:gridCol w:w="330"/>
        <w:gridCol w:w="234"/>
        <w:gridCol w:w="564"/>
        <w:gridCol w:w="452"/>
        <w:gridCol w:w="7"/>
        <w:gridCol w:w="564"/>
        <w:gridCol w:w="564"/>
        <w:gridCol w:w="32"/>
        <w:gridCol w:w="92"/>
        <w:gridCol w:w="440"/>
        <w:gridCol w:w="468"/>
        <w:gridCol w:w="236"/>
        <w:gridCol w:w="947"/>
        <w:gridCol w:w="234"/>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67" w:type="dxa"/>
            <w:gridSpan w:val="27"/>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41" w:type="dxa"/>
            <w:noWrap w:val="0"/>
            <w:vAlign w:val="bottom"/>
          </w:tcPr>
          <w:p>
            <w:pPr>
              <w:rPr>
                <w:rFonts w:hint="eastAsia" w:ascii="Arial" w:hAnsi="Arial" w:cs="Arial"/>
                <w:i w:val="0"/>
                <w:color w:val="000000"/>
                <w:sz w:val="20"/>
                <w:szCs w:val="20"/>
                <w:u w:val="none"/>
              </w:rPr>
            </w:pPr>
          </w:p>
        </w:tc>
        <w:tc>
          <w:tcPr>
            <w:tcW w:w="541" w:type="dxa"/>
            <w:noWrap w:val="0"/>
            <w:vAlign w:val="bottom"/>
          </w:tcPr>
          <w:p>
            <w:pPr>
              <w:rPr>
                <w:rFonts w:hint="eastAsia" w:ascii="Arial" w:hAnsi="Arial" w:cs="Arial"/>
                <w:i w:val="0"/>
                <w:color w:val="000000"/>
                <w:sz w:val="20"/>
                <w:szCs w:val="20"/>
                <w:u w:val="none"/>
              </w:rPr>
            </w:pPr>
          </w:p>
        </w:tc>
        <w:tc>
          <w:tcPr>
            <w:tcW w:w="1624" w:type="dxa"/>
            <w:gridSpan w:val="4"/>
            <w:noWrap w:val="0"/>
            <w:vAlign w:val="bottom"/>
          </w:tcPr>
          <w:p>
            <w:pPr>
              <w:rPr>
                <w:rFonts w:hint="eastAsia" w:ascii="Arial" w:hAnsi="Arial" w:cs="Arial"/>
                <w:i w:val="0"/>
                <w:color w:val="000000"/>
                <w:sz w:val="20"/>
                <w:szCs w:val="20"/>
                <w:u w:val="none"/>
              </w:rPr>
            </w:pPr>
          </w:p>
        </w:tc>
        <w:tc>
          <w:tcPr>
            <w:tcW w:w="2195" w:type="dxa"/>
            <w:gridSpan w:val="2"/>
            <w:noWrap w:val="0"/>
            <w:vAlign w:val="bottom"/>
          </w:tcPr>
          <w:p>
            <w:pPr>
              <w:rPr>
                <w:rFonts w:hint="eastAsia" w:ascii="Arial" w:hAnsi="Arial" w:cs="Arial"/>
                <w:i w:val="0"/>
                <w:color w:val="000000"/>
                <w:sz w:val="20"/>
                <w:szCs w:val="20"/>
                <w:u w:val="none"/>
              </w:rPr>
            </w:pPr>
          </w:p>
        </w:tc>
        <w:tc>
          <w:tcPr>
            <w:tcW w:w="1926" w:type="dxa"/>
            <w:gridSpan w:val="3"/>
            <w:noWrap w:val="0"/>
            <w:vAlign w:val="bottom"/>
          </w:tcPr>
          <w:p>
            <w:pPr>
              <w:rPr>
                <w:rFonts w:hint="eastAsia" w:ascii="Arial" w:hAnsi="Arial" w:cs="Arial"/>
                <w:i w:val="0"/>
                <w:color w:val="000000"/>
                <w:sz w:val="20"/>
                <w:szCs w:val="20"/>
                <w:u w:val="none"/>
              </w:rPr>
            </w:pPr>
          </w:p>
        </w:tc>
        <w:tc>
          <w:tcPr>
            <w:tcW w:w="1128" w:type="dxa"/>
            <w:gridSpan w:val="3"/>
            <w:noWrap w:val="0"/>
            <w:vAlign w:val="bottom"/>
          </w:tcPr>
          <w:p>
            <w:pPr>
              <w:rPr>
                <w:rFonts w:hint="eastAsia" w:ascii="Arial" w:hAnsi="Arial" w:cs="Arial"/>
                <w:i w:val="0"/>
                <w:color w:val="000000"/>
                <w:sz w:val="20"/>
                <w:szCs w:val="20"/>
                <w:u w:val="none"/>
              </w:rPr>
            </w:pPr>
          </w:p>
        </w:tc>
        <w:tc>
          <w:tcPr>
            <w:tcW w:w="1023" w:type="dxa"/>
            <w:gridSpan w:val="3"/>
            <w:noWrap w:val="0"/>
            <w:vAlign w:val="bottom"/>
          </w:tcPr>
          <w:p>
            <w:pPr>
              <w:rPr>
                <w:rFonts w:hint="eastAsia" w:ascii="Arial" w:hAnsi="Arial" w:cs="Arial"/>
                <w:i w:val="0"/>
                <w:color w:val="000000"/>
                <w:sz w:val="20"/>
                <w:szCs w:val="20"/>
                <w:u w:val="none"/>
              </w:rPr>
            </w:pPr>
          </w:p>
        </w:tc>
        <w:tc>
          <w:tcPr>
            <w:tcW w:w="1128" w:type="dxa"/>
            <w:gridSpan w:val="2"/>
            <w:noWrap w:val="0"/>
            <w:vAlign w:val="bottom"/>
          </w:tcPr>
          <w:p>
            <w:pPr>
              <w:rPr>
                <w:rFonts w:hint="eastAsia" w:ascii="Arial" w:hAnsi="Arial" w:cs="Arial"/>
                <w:i w:val="0"/>
                <w:color w:val="000000"/>
                <w:sz w:val="20"/>
                <w:szCs w:val="20"/>
                <w:u w:val="none"/>
              </w:rPr>
            </w:pPr>
          </w:p>
        </w:tc>
        <w:tc>
          <w:tcPr>
            <w:tcW w:w="1268" w:type="dxa"/>
            <w:gridSpan w:val="5"/>
            <w:noWrap w:val="0"/>
            <w:vAlign w:val="bottom"/>
          </w:tcPr>
          <w:p>
            <w:pPr>
              <w:rPr>
                <w:rFonts w:hint="eastAsia" w:ascii="Arial" w:hAnsi="Arial" w:cs="Arial"/>
                <w:i w:val="0"/>
                <w:color w:val="000000"/>
                <w:sz w:val="20"/>
                <w:szCs w:val="20"/>
                <w:u w:val="none"/>
              </w:rPr>
            </w:pPr>
          </w:p>
        </w:tc>
        <w:tc>
          <w:tcPr>
            <w:tcW w:w="2493"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374" w:type="dxa"/>
            <w:gridSpan w:val="24"/>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2493"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86" w:type="dxa"/>
            <w:gridSpan w:val="9"/>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641"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本年收入合计</w:t>
            </w:r>
          </w:p>
        </w:tc>
        <w:tc>
          <w:tcPr>
            <w:tcW w:w="1128"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1023"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1252" w:type="dxa"/>
            <w:gridSpan w:val="4"/>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1144"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1181"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1312" w:type="dxa"/>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3300" w:type="dxa"/>
            <w:gridSpan w:val="5"/>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64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2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23"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2"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44"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12"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3300" w:type="dxa"/>
            <w:gridSpan w:val="5"/>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64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2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23"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2"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44"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12"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3300" w:type="dxa"/>
            <w:gridSpan w:val="5"/>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64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2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23"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2"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44"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1"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12"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86" w:type="dxa"/>
            <w:gridSpan w:val="9"/>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641"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12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023"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252" w:type="dxa"/>
            <w:gridSpan w:val="4"/>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44"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81"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312"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86" w:type="dxa"/>
            <w:gridSpan w:val="9"/>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64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4,742.24</w:t>
            </w:r>
          </w:p>
        </w:tc>
        <w:tc>
          <w:tcPr>
            <w:tcW w:w="112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c>
          <w:tcPr>
            <w:tcW w:w="1023"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c>
          <w:tcPr>
            <w:tcW w:w="1252"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3,478.54</w:t>
            </w:r>
          </w:p>
        </w:tc>
        <w:tc>
          <w:tcPr>
            <w:tcW w:w="1144"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1,240.05</w:t>
            </w:r>
          </w:p>
        </w:tc>
        <w:tc>
          <w:tcPr>
            <w:tcW w:w="118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c>
          <w:tcPr>
            <w:tcW w:w="1312"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w:t>
            </w:r>
          </w:p>
        </w:tc>
        <w:tc>
          <w:tcPr>
            <w:tcW w:w="3300"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资源勘探工业信息等支出</w:t>
            </w:r>
          </w:p>
        </w:tc>
        <w:tc>
          <w:tcPr>
            <w:tcW w:w="164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4,742.24</w:t>
            </w:r>
          </w:p>
        </w:tc>
        <w:tc>
          <w:tcPr>
            <w:tcW w:w="112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23"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252"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3,478.54</w:t>
            </w:r>
          </w:p>
        </w:tc>
        <w:tc>
          <w:tcPr>
            <w:tcW w:w="1144"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1,240.05</w:t>
            </w:r>
          </w:p>
        </w:tc>
        <w:tc>
          <w:tcPr>
            <w:tcW w:w="118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312"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21505</w:t>
            </w:r>
          </w:p>
        </w:tc>
        <w:tc>
          <w:tcPr>
            <w:tcW w:w="3300"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工业和信息产业监管</w:t>
            </w:r>
          </w:p>
        </w:tc>
        <w:tc>
          <w:tcPr>
            <w:tcW w:w="164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4,742.24</w:t>
            </w:r>
          </w:p>
        </w:tc>
        <w:tc>
          <w:tcPr>
            <w:tcW w:w="112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23"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252"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3,478.54</w:t>
            </w:r>
          </w:p>
        </w:tc>
        <w:tc>
          <w:tcPr>
            <w:tcW w:w="1144"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1,240.05</w:t>
            </w:r>
          </w:p>
        </w:tc>
        <w:tc>
          <w:tcPr>
            <w:tcW w:w="118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312"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2150599</w:t>
            </w:r>
          </w:p>
        </w:tc>
        <w:tc>
          <w:tcPr>
            <w:tcW w:w="3300"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其他工业和信息产业监管支出</w:t>
            </w:r>
          </w:p>
        </w:tc>
        <w:tc>
          <w:tcPr>
            <w:tcW w:w="164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4,742.24</w:t>
            </w:r>
          </w:p>
        </w:tc>
        <w:tc>
          <w:tcPr>
            <w:tcW w:w="112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23"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252"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3,478.54</w:t>
            </w:r>
          </w:p>
        </w:tc>
        <w:tc>
          <w:tcPr>
            <w:tcW w:w="1144"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1,240.05</w:t>
            </w:r>
          </w:p>
        </w:tc>
        <w:tc>
          <w:tcPr>
            <w:tcW w:w="1181"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312" w:type="dxa"/>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300"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2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23"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2"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1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300"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2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23"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2"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1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300"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2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23"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2"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1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300"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2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23"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2"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1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86" w:type="dxa"/>
            <w:gridSpan w:val="4"/>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300"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2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23"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2"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1"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1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67" w:type="dxa"/>
            <w:gridSpan w:val="27"/>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67" w:type="dxa"/>
            <w:gridSpan w:val="27"/>
            <w:noWrap w:val="0"/>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p>
          <w:p>
            <w:pPr>
              <w:widowControl/>
              <w:jc w:val="left"/>
              <w:textAlignment w:val="center"/>
              <w:rPr>
                <w:rFonts w:hint="eastAsia" w:ascii="宋体" w:hAnsi="宋体" w:eastAsia="宋体" w:cs="宋体"/>
                <w:i w:val="0"/>
                <w:color w:val="000000"/>
                <w:kern w:val="0"/>
                <w:sz w:val="22"/>
                <w:szCs w:val="22"/>
                <w:u w:val="none"/>
                <w:lang w:val="en-US" w:eastAsia="zh-CN" w:bidi="ar-SA"/>
              </w:rPr>
            </w:pPr>
          </w:p>
          <w:p>
            <w:pPr>
              <w:widowControl/>
              <w:jc w:val="left"/>
              <w:textAlignment w:val="center"/>
              <w:rPr>
                <w:rFonts w:hint="eastAsia" w:ascii="宋体" w:hAnsi="宋体" w:eastAsia="宋体" w:cs="宋体"/>
                <w:i w:val="0"/>
                <w:color w:val="000000"/>
                <w:kern w:val="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67" w:type="dxa"/>
            <w:gridSpan w:val="27"/>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623" w:type="dxa"/>
            <w:gridSpan w:val="3"/>
            <w:noWrap w:val="0"/>
            <w:vAlign w:val="bottom"/>
          </w:tcPr>
          <w:p>
            <w:pPr>
              <w:rPr>
                <w:rFonts w:hint="eastAsia" w:ascii="Arial" w:hAnsi="Arial" w:cs="Arial"/>
                <w:i w:val="0"/>
                <w:color w:val="000000"/>
                <w:sz w:val="20"/>
                <w:szCs w:val="20"/>
                <w:u w:val="none"/>
              </w:rPr>
            </w:pPr>
          </w:p>
        </w:tc>
        <w:tc>
          <w:tcPr>
            <w:tcW w:w="541" w:type="dxa"/>
            <w:gridSpan w:val="2"/>
            <w:noWrap w:val="0"/>
            <w:vAlign w:val="bottom"/>
          </w:tcPr>
          <w:p>
            <w:pPr>
              <w:rPr>
                <w:rFonts w:hint="eastAsia" w:ascii="Arial" w:hAnsi="Arial" w:cs="Arial"/>
                <w:i w:val="0"/>
                <w:color w:val="000000"/>
                <w:sz w:val="20"/>
                <w:szCs w:val="20"/>
                <w:u w:val="none"/>
              </w:rPr>
            </w:pPr>
          </w:p>
        </w:tc>
        <w:tc>
          <w:tcPr>
            <w:tcW w:w="1639" w:type="dxa"/>
            <w:gridSpan w:val="2"/>
            <w:noWrap w:val="0"/>
            <w:vAlign w:val="bottom"/>
          </w:tcPr>
          <w:p>
            <w:pPr>
              <w:rPr>
                <w:rFonts w:hint="eastAsia" w:ascii="Arial" w:hAnsi="Arial" w:cs="Arial"/>
                <w:i w:val="0"/>
                <w:color w:val="000000"/>
                <w:sz w:val="20"/>
                <w:szCs w:val="20"/>
                <w:u w:val="none"/>
              </w:rPr>
            </w:pPr>
          </w:p>
        </w:tc>
        <w:tc>
          <w:tcPr>
            <w:tcW w:w="2460" w:type="dxa"/>
            <w:gridSpan w:val="3"/>
            <w:noWrap w:val="0"/>
            <w:vAlign w:val="bottom"/>
          </w:tcPr>
          <w:p>
            <w:pPr>
              <w:rPr>
                <w:rFonts w:hint="eastAsia" w:ascii="Arial" w:hAnsi="Arial" w:cs="Arial"/>
                <w:i w:val="0"/>
                <w:color w:val="000000"/>
                <w:sz w:val="20"/>
                <w:szCs w:val="20"/>
                <w:u w:val="none"/>
              </w:rPr>
            </w:pPr>
          </w:p>
        </w:tc>
        <w:tc>
          <w:tcPr>
            <w:tcW w:w="1128" w:type="dxa"/>
            <w:gridSpan w:val="2"/>
            <w:noWrap w:val="0"/>
            <w:vAlign w:val="bottom"/>
          </w:tcPr>
          <w:p>
            <w:pPr>
              <w:rPr>
                <w:rFonts w:hint="eastAsia" w:ascii="Arial" w:hAnsi="Arial" w:cs="Arial"/>
                <w:i w:val="0"/>
                <w:color w:val="000000"/>
                <w:sz w:val="20"/>
                <w:szCs w:val="20"/>
                <w:u w:val="none"/>
              </w:rPr>
            </w:pPr>
          </w:p>
        </w:tc>
        <w:tc>
          <w:tcPr>
            <w:tcW w:w="1128" w:type="dxa"/>
            <w:gridSpan w:val="3"/>
            <w:noWrap w:val="0"/>
            <w:vAlign w:val="bottom"/>
          </w:tcPr>
          <w:p>
            <w:pPr>
              <w:rPr>
                <w:rFonts w:hint="eastAsia" w:ascii="Arial" w:hAnsi="Arial" w:cs="Arial"/>
                <w:i w:val="0"/>
                <w:color w:val="000000"/>
                <w:sz w:val="20"/>
                <w:szCs w:val="20"/>
                <w:u w:val="none"/>
              </w:rPr>
            </w:pPr>
          </w:p>
        </w:tc>
        <w:tc>
          <w:tcPr>
            <w:tcW w:w="1023" w:type="dxa"/>
            <w:gridSpan w:val="3"/>
            <w:noWrap w:val="0"/>
            <w:vAlign w:val="bottom"/>
          </w:tcPr>
          <w:p>
            <w:pPr>
              <w:rPr>
                <w:rFonts w:hint="eastAsia" w:ascii="Arial" w:hAnsi="Arial" w:cs="Arial"/>
                <w:i w:val="0"/>
                <w:color w:val="000000"/>
                <w:sz w:val="20"/>
                <w:szCs w:val="20"/>
                <w:u w:val="none"/>
              </w:rPr>
            </w:pPr>
          </w:p>
        </w:tc>
        <w:tc>
          <w:tcPr>
            <w:tcW w:w="1128" w:type="dxa"/>
            <w:gridSpan w:val="4"/>
            <w:noWrap w:val="0"/>
            <w:vAlign w:val="bottom"/>
          </w:tcPr>
          <w:p>
            <w:pPr>
              <w:rPr>
                <w:rFonts w:hint="eastAsia" w:ascii="Arial" w:hAnsi="Arial" w:cs="Arial"/>
                <w:i w:val="0"/>
                <w:color w:val="000000"/>
                <w:sz w:val="20"/>
                <w:szCs w:val="20"/>
                <w:u w:val="none"/>
              </w:rPr>
            </w:pPr>
          </w:p>
        </w:tc>
        <w:tc>
          <w:tcPr>
            <w:tcW w:w="1651" w:type="dxa"/>
            <w:gridSpan w:val="3"/>
            <w:noWrap w:val="0"/>
            <w:vAlign w:val="bottom"/>
          </w:tcPr>
          <w:p>
            <w:pPr>
              <w:rPr>
                <w:rFonts w:hint="eastAsia" w:ascii="Arial" w:hAnsi="Arial" w:cs="Arial"/>
                <w:i w:val="0"/>
                <w:color w:val="000000"/>
                <w:sz w:val="20"/>
                <w:szCs w:val="20"/>
                <w:u w:val="none"/>
              </w:rPr>
            </w:pPr>
          </w:p>
        </w:tc>
        <w:tc>
          <w:tcPr>
            <w:tcW w:w="1546" w:type="dxa"/>
            <w:gridSpan w:val="2"/>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321" w:type="dxa"/>
            <w:gridSpan w:val="25"/>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1546" w:type="dxa"/>
            <w:gridSpan w:val="2"/>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63" w:type="dxa"/>
            <w:gridSpan w:val="10"/>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458"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250"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7" w:type="dxa"/>
            <w:gridSpan w:val="4"/>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000" w:type="dxa"/>
            <w:gridSpan w:val="3"/>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83"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546"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4099" w:type="dxa"/>
            <w:gridSpan w:val="5"/>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45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67"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0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3"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46"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4099" w:type="dxa"/>
            <w:gridSpan w:val="5"/>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5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67"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0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3"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46"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4099" w:type="dxa"/>
            <w:gridSpan w:val="5"/>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58"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5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67" w:type="dxa"/>
            <w:gridSpan w:val="4"/>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00" w:type="dxa"/>
            <w:gridSpan w:val="3"/>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83"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46"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63" w:type="dxa"/>
            <w:gridSpan w:val="10"/>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458"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250"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167" w:type="dxa"/>
            <w:gridSpan w:val="4"/>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000"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83"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546"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63" w:type="dxa"/>
            <w:gridSpan w:val="10"/>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45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5,296.05</w:t>
            </w:r>
          </w:p>
        </w:tc>
        <w:tc>
          <w:tcPr>
            <w:tcW w:w="125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5,186.78</w:t>
            </w:r>
          </w:p>
        </w:tc>
        <w:tc>
          <w:tcPr>
            <w:tcW w:w="1167"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c>
          <w:tcPr>
            <w:tcW w:w="100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c>
          <w:tcPr>
            <w:tcW w:w="1183"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109.27</w:t>
            </w:r>
          </w:p>
        </w:tc>
        <w:tc>
          <w:tcPr>
            <w:tcW w:w="1546"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w:t>
            </w:r>
          </w:p>
        </w:tc>
        <w:tc>
          <w:tcPr>
            <w:tcW w:w="4099"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资源勘探工业信息等支出</w:t>
            </w:r>
          </w:p>
        </w:tc>
        <w:tc>
          <w:tcPr>
            <w:tcW w:w="145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5,296.05</w:t>
            </w:r>
          </w:p>
        </w:tc>
        <w:tc>
          <w:tcPr>
            <w:tcW w:w="125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5,186.78</w:t>
            </w:r>
          </w:p>
        </w:tc>
        <w:tc>
          <w:tcPr>
            <w:tcW w:w="1167"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0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183"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109.27</w:t>
            </w:r>
          </w:p>
        </w:tc>
        <w:tc>
          <w:tcPr>
            <w:tcW w:w="1546"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21505</w:t>
            </w:r>
          </w:p>
        </w:tc>
        <w:tc>
          <w:tcPr>
            <w:tcW w:w="4099"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工业和信息产业监管</w:t>
            </w:r>
          </w:p>
        </w:tc>
        <w:tc>
          <w:tcPr>
            <w:tcW w:w="145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5,296.05</w:t>
            </w:r>
          </w:p>
        </w:tc>
        <w:tc>
          <w:tcPr>
            <w:tcW w:w="125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5,186.78</w:t>
            </w:r>
          </w:p>
        </w:tc>
        <w:tc>
          <w:tcPr>
            <w:tcW w:w="1167"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0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183"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109.27</w:t>
            </w:r>
          </w:p>
        </w:tc>
        <w:tc>
          <w:tcPr>
            <w:tcW w:w="1546"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2150599</w:t>
            </w:r>
          </w:p>
        </w:tc>
        <w:tc>
          <w:tcPr>
            <w:tcW w:w="4099" w:type="dxa"/>
            <w:gridSpan w:val="5"/>
            <w:tcBorders>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其他工业和信息产业监管支出</w:t>
            </w:r>
          </w:p>
        </w:tc>
        <w:tc>
          <w:tcPr>
            <w:tcW w:w="1458"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5,296.05</w:t>
            </w:r>
          </w:p>
        </w:tc>
        <w:tc>
          <w:tcPr>
            <w:tcW w:w="125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5,186.78</w:t>
            </w:r>
          </w:p>
        </w:tc>
        <w:tc>
          <w:tcPr>
            <w:tcW w:w="1167" w:type="dxa"/>
            <w:gridSpan w:val="4"/>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000" w:type="dxa"/>
            <w:gridSpan w:val="3"/>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c>
          <w:tcPr>
            <w:tcW w:w="1183"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109.27</w:t>
            </w:r>
          </w:p>
        </w:tc>
        <w:tc>
          <w:tcPr>
            <w:tcW w:w="1546" w:type="dxa"/>
            <w:gridSpan w:val="2"/>
            <w:tcBorders>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099"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45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7"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4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099"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45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7"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4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099"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45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7"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4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099"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45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7"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4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4" w:type="dxa"/>
            <w:gridSpan w:val="5"/>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099" w:type="dxa"/>
            <w:gridSpan w:val="5"/>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458"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5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7" w:type="dxa"/>
            <w:gridSpan w:val="4"/>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0"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4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867" w:type="dxa"/>
            <w:gridSpan w:val="27"/>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注：本表反映部门本年度各项支出情况。</w:t>
            </w:r>
          </w:p>
        </w:tc>
      </w:tr>
    </w:tbl>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94"/>
        <w:gridCol w:w="230"/>
        <w:gridCol w:w="263"/>
        <w:gridCol w:w="262"/>
        <w:gridCol w:w="1350"/>
        <w:gridCol w:w="929"/>
        <w:gridCol w:w="2890"/>
        <w:gridCol w:w="493"/>
        <w:gridCol w:w="1335"/>
        <w:gridCol w:w="789"/>
        <w:gridCol w:w="351"/>
        <w:gridCol w:w="1088"/>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74" w:type="dxa"/>
            <w:gridSpan w:val="13"/>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594" w:type="dxa"/>
            <w:noWrap w:val="0"/>
            <w:vAlign w:val="bottom"/>
          </w:tcPr>
          <w:p>
            <w:pPr>
              <w:rPr>
                <w:rFonts w:hint="eastAsia" w:ascii="Arial" w:hAnsi="Arial" w:cs="Arial"/>
                <w:i w:val="0"/>
                <w:color w:val="000000"/>
                <w:sz w:val="20"/>
                <w:szCs w:val="20"/>
                <w:u w:val="none"/>
              </w:rPr>
            </w:pPr>
          </w:p>
        </w:tc>
        <w:tc>
          <w:tcPr>
            <w:tcW w:w="493" w:type="dxa"/>
            <w:gridSpan w:val="2"/>
            <w:noWrap w:val="0"/>
            <w:vAlign w:val="bottom"/>
          </w:tcPr>
          <w:p>
            <w:pPr>
              <w:rPr>
                <w:rFonts w:hint="eastAsia" w:ascii="Arial" w:hAnsi="Arial" w:cs="Arial"/>
                <w:i w:val="0"/>
                <w:color w:val="000000"/>
                <w:sz w:val="20"/>
                <w:szCs w:val="20"/>
                <w:u w:val="none"/>
              </w:rPr>
            </w:pPr>
          </w:p>
        </w:tc>
        <w:tc>
          <w:tcPr>
            <w:tcW w:w="2541" w:type="dxa"/>
            <w:gridSpan w:val="3"/>
            <w:noWrap w:val="0"/>
            <w:vAlign w:val="bottom"/>
          </w:tcPr>
          <w:p>
            <w:pPr>
              <w:rPr>
                <w:rFonts w:hint="eastAsia" w:ascii="Arial" w:hAnsi="Arial" w:cs="Arial"/>
                <w:i w:val="0"/>
                <w:color w:val="000000"/>
                <w:sz w:val="20"/>
                <w:szCs w:val="20"/>
                <w:u w:val="none"/>
              </w:rPr>
            </w:pPr>
          </w:p>
        </w:tc>
        <w:tc>
          <w:tcPr>
            <w:tcW w:w="2890" w:type="dxa"/>
            <w:noWrap w:val="0"/>
            <w:vAlign w:val="bottom"/>
          </w:tcPr>
          <w:p>
            <w:pPr>
              <w:rPr>
                <w:rFonts w:hint="eastAsia" w:ascii="Arial" w:hAnsi="Arial" w:cs="Arial"/>
                <w:i w:val="0"/>
                <w:color w:val="000000"/>
                <w:sz w:val="20"/>
                <w:szCs w:val="20"/>
                <w:u w:val="none"/>
              </w:rPr>
            </w:pPr>
          </w:p>
        </w:tc>
        <w:tc>
          <w:tcPr>
            <w:tcW w:w="493" w:type="dxa"/>
            <w:noWrap w:val="0"/>
            <w:vAlign w:val="bottom"/>
          </w:tcPr>
          <w:p>
            <w:pPr>
              <w:rPr>
                <w:rFonts w:hint="eastAsia" w:ascii="Arial" w:hAnsi="Arial" w:cs="Arial"/>
                <w:i w:val="0"/>
                <w:color w:val="000000"/>
                <w:sz w:val="20"/>
                <w:szCs w:val="20"/>
                <w:u w:val="none"/>
              </w:rPr>
            </w:pPr>
          </w:p>
        </w:tc>
        <w:tc>
          <w:tcPr>
            <w:tcW w:w="1335" w:type="dxa"/>
            <w:noWrap w:val="0"/>
            <w:vAlign w:val="bottom"/>
          </w:tcPr>
          <w:p>
            <w:pPr>
              <w:rPr>
                <w:rFonts w:hint="eastAsia" w:ascii="Arial" w:hAnsi="Arial" w:cs="Arial"/>
                <w:i w:val="0"/>
                <w:color w:val="000000"/>
                <w:sz w:val="20"/>
                <w:szCs w:val="20"/>
                <w:u w:val="none"/>
              </w:rPr>
            </w:pPr>
          </w:p>
        </w:tc>
        <w:tc>
          <w:tcPr>
            <w:tcW w:w="789" w:type="dxa"/>
            <w:noWrap w:val="0"/>
            <w:vAlign w:val="bottom"/>
          </w:tcPr>
          <w:p>
            <w:pPr>
              <w:rPr>
                <w:rFonts w:hint="eastAsia" w:ascii="Arial" w:hAnsi="Arial" w:cs="Arial"/>
                <w:i w:val="0"/>
                <w:color w:val="000000"/>
                <w:sz w:val="20"/>
                <w:szCs w:val="20"/>
                <w:u w:val="none"/>
              </w:rPr>
            </w:pPr>
          </w:p>
        </w:tc>
        <w:tc>
          <w:tcPr>
            <w:tcW w:w="2939"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135" w:type="dxa"/>
            <w:gridSpan w:val="10"/>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2939"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699" w:type="dxa"/>
            <w:gridSpan w:val="5"/>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     入</w:t>
            </w:r>
          </w:p>
        </w:tc>
        <w:tc>
          <w:tcPr>
            <w:tcW w:w="9375" w:type="dxa"/>
            <w:gridSpan w:val="8"/>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824" w:type="dxa"/>
            <w:gridSpan w:val="2"/>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525"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1350"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3819"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93"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行次</w:t>
            </w:r>
          </w:p>
        </w:tc>
        <w:tc>
          <w:tcPr>
            <w:tcW w:w="1335"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140"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1088"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1500"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824" w:type="dxa"/>
            <w:gridSpan w:val="2"/>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525"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5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3819"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493"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3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40"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88"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525" w:type="dxa"/>
            <w:gridSpan w:val="2"/>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5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19"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93" w:type="dxa"/>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35"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140"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088"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5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一、一般公共预算财政拨款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一、一般公共服务支出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33</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二、政府性基金预算财政拨款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二、外交支出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34</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三、国有资本经营财政拨款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三、国防支出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35</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四、公共安全支出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36</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五、教育支出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37</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六、科学技术支出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38</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七、文化旅游体育与传媒支出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八、社会保障和就业支出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40</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九、卫生健康支出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41</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十、节能环保支出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42</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十一、城乡社区支出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43</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十二、农林水支出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44</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13</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十三、交通运输支出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45</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14</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十四、资源勘探工业信息等支出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46</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15</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十五、商业服务业等支出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47</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16</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十六、金融支出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48</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17</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十七、援助其他地区支出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49</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18</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十八、自然资源海洋气象等支出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50</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19</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十九、住房保障支出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51</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20</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二十、粮油物资储备支出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52</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21</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二十一、国有资本经营预算支出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53</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22</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二十二、灾害防治及应急管理支出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54</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23</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二十三、其他支出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55</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b/>
                <w:i w:val="0"/>
                <w:color w:val="000000"/>
                <w:sz w:val="20"/>
                <w:szCs w:val="20"/>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24</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二十四、债务还本支出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56</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0"/>
                <w:szCs w:val="20"/>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25</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二十五、债务付息支出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57</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0"/>
                <w:szCs w:val="20"/>
                <w:u w:val="none"/>
              </w:rPr>
            </w:pP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26</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二十六、抗疫特别国债安排的支出</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58</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本年收入合计</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27</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本年支出合计</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59</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年初财政拨款结转和结余</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28</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年末财政拨款结转和结余</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60</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一般公共预算财政拨款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29</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61</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政府性基金预算财政拨款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62</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国有资本经营预算财政拨款</w:t>
            </w:r>
          </w:p>
        </w:tc>
        <w:tc>
          <w:tcPr>
            <w:tcW w:w="525"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63</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24"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525" w:type="dxa"/>
            <w:gridSpan w:val="2"/>
            <w:tcBorders>
              <w:bottom w:val="single" w:color="000000" w:sz="12"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32</w:t>
            </w:r>
          </w:p>
        </w:tc>
        <w:tc>
          <w:tcPr>
            <w:tcW w:w="1350"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3819"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SA"/>
              </w:rPr>
              <w:t>总计</w:t>
            </w:r>
          </w:p>
        </w:tc>
        <w:tc>
          <w:tcPr>
            <w:tcW w:w="49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64</w:t>
            </w:r>
          </w:p>
        </w:tc>
        <w:tc>
          <w:tcPr>
            <w:tcW w:w="133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88"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574" w:type="dxa"/>
            <w:gridSpan w:val="12"/>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注：本表反映部门本年度一般公共预算财政拨款、政府性基金预算财政拨款和国有资本经营预算财政拨款的总收支和年末结转结余情况。</w:t>
            </w:r>
          </w:p>
        </w:tc>
        <w:tc>
          <w:tcPr>
            <w:tcW w:w="1500" w:type="dxa"/>
            <w:noWrap w:val="0"/>
            <w:vAlign w:val="center"/>
          </w:tcPr>
          <w:p>
            <w:pPr>
              <w:jc w:val="left"/>
              <w:rPr>
                <w:rFonts w:hint="eastAsia" w:ascii="宋体" w:hAnsi="宋体" w:eastAsia="宋体" w:cs="宋体"/>
                <w:i w:val="0"/>
                <w:color w:val="000000"/>
                <w:sz w:val="20"/>
                <w:szCs w:val="20"/>
                <w:u w:val="none"/>
              </w:rPr>
            </w:pPr>
          </w:p>
        </w:tc>
      </w:tr>
    </w:tbl>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2"/>
        <w:gridCol w:w="909"/>
        <w:gridCol w:w="909"/>
        <w:gridCol w:w="3930"/>
        <w:gridCol w:w="2250"/>
        <w:gridCol w:w="2456"/>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211" w:type="dxa"/>
            <w:gridSpan w:val="7"/>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32"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3930" w:type="dxa"/>
            <w:noWrap w:val="0"/>
            <w:vAlign w:val="bottom"/>
          </w:tcPr>
          <w:p>
            <w:pPr>
              <w:rPr>
                <w:rFonts w:hint="eastAsia" w:ascii="Arial" w:hAnsi="Arial" w:cs="Arial"/>
                <w:i w:val="0"/>
                <w:color w:val="000000"/>
                <w:sz w:val="20"/>
                <w:szCs w:val="20"/>
                <w:u w:val="none"/>
              </w:rPr>
            </w:pPr>
          </w:p>
        </w:tc>
        <w:tc>
          <w:tcPr>
            <w:tcW w:w="2250" w:type="dxa"/>
            <w:noWrap w:val="0"/>
            <w:vAlign w:val="bottom"/>
          </w:tcPr>
          <w:p>
            <w:pPr>
              <w:rPr>
                <w:rFonts w:hint="eastAsia" w:ascii="Arial" w:hAnsi="Arial" w:cs="Arial"/>
                <w:i w:val="0"/>
                <w:color w:val="000000"/>
                <w:sz w:val="20"/>
                <w:szCs w:val="20"/>
                <w:u w:val="none"/>
              </w:rPr>
            </w:pPr>
          </w:p>
        </w:tc>
        <w:tc>
          <w:tcPr>
            <w:tcW w:w="4781" w:type="dxa"/>
            <w:gridSpan w:val="2"/>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30" w:type="dxa"/>
            <w:gridSpan w:val="5"/>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4781" w:type="dxa"/>
            <w:gridSpan w:val="2"/>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031" w:type="dxa"/>
            <w:gridSpan w:val="3"/>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3930"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250"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2456"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325"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456"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32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456"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32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5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456"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325"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4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3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211" w:type="dxa"/>
            <w:gridSpan w:val="7"/>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注：本表反映部门本年度一般公共预算财政拨款支出情况。</w:t>
            </w:r>
          </w:p>
        </w:tc>
      </w:tr>
    </w:tbl>
    <w:p/>
    <w:p/>
    <w:p/>
    <w:p/>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2790"/>
        <w:gridCol w:w="885"/>
        <w:gridCol w:w="735"/>
        <w:gridCol w:w="397"/>
        <w:gridCol w:w="1477"/>
        <w:gridCol w:w="361"/>
        <w:gridCol w:w="689"/>
        <w:gridCol w:w="361"/>
        <w:gridCol w:w="374"/>
        <w:gridCol w:w="901"/>
        <w:gridCol w:w="2794"/>
        <w:gridCol w:w="1406"/>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390" w:hRule="atLeast"/>
        </w:trPr>
        <w:tc>
          <w:tcPr>
            <w:tcW w:w="13905" w:type="dxa"/>
            <w:gridSpan w:val="13"/>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285" w:hRule="atLeast"/>
        </w:trPr>
        <w:tc>
          <w:tcPr>
            <w:tcW w:w="735" w:type="dxa"/>
            <w:noWrap w:val="0"/>
            <w:vAlign w:val="bottom"/>
          </w:tcPr>
          <w:p>
            <w:pPr>
              <w:rPr>
                <w:rFonts w:hint="eastAsia" w:ascii="Arial" w:hAnsi="Arial" w:cs="Arial"/>
                <w:i w:val="0"/>
                <w:color w:val="000000"/>
                <w:sz w:val="20"/>
                <w:szCs w:val="20"/>
                <w:u w:val="none"/>
              </w:rPr>
            </w:pPr>
          </w:p>
        </w:tc>
        <w:tc>
          <w:tcPr>
            <w:tcW w:w="2790" w:type="dxa"/>
            <w:noWrap w:val="0"/>
            <w:vAlign w:val="bottom"/>
          </w:tcPr>
          <w:p>
            <w:pPr>
              <w:rPr>
                <w:rFonts w:hint="eastAsia" w:ascii="Arial" w:hAnsi="Arial" w:cs="Arial"/>
                <w:i w:val="0"/>
                <w:color w:val="000000"/>
                <w:sz w:val="20"/>
                <w:szCs w:val="20"/>
                <w:u w:val="none"/>
              </w:rPr>
            </w:pPr>
          </w:p>
        </w:tc>
        <w:tc>
          <w:tcPr>
            <w:tcW w:w="885" w:type="dxa"/>
            <w:noWrap w:val="0"/>
            <w:vAlign w:val="bottom"/>
          </w:tcPr>
          <w:p>
            <w:pPr>
              <w:rPr>
                <w:rFonts w:hint="eastAsia" w:ascii="Arial" w:hAnsi="Arial" w:cs="Arial"/>
                <w:i w:val="0"/>
                <w:color w:val="000000"/>
                <w:sz w:val="20"/>
                <w:szCs w:val="20"/>
                <w:u w:val="none"/>
              </w:rPr>
            </w:pPr>
          </w:p>
        </w:tc>
        <w:tc>
          <w:tcPr>
            <w:tcW w:w="735" w:type="dxa"/>
            <w:noWrap w:val="0"/>
            <w:vAlign w:val="bottom"/>
          </w:tcPr>
          <w:p>
            <w:pPr>
              <w:rPr>
                <w:rFonts w:hint="eastAsia" w:ascii="Arial" w:hAnsi="Arial" w:cs="Arial"/>
                <w:i w:val="0"/>
                <w:color w:val="000000"/>
                <w:sz w:val="20"/>
                <w:szCs w:val="20"/>
                <w:u w:val="none"/>
              </w:rPr>
            </w:pPr>
          </w:p>
        </w:tc>
        <w:tc>
          <w:tcPr>
            <w:tcW w:w="1874" w:type="dxa"/>
            <w:gridSpan w:val="2"/>
            <w:noWrap w:val="0"/>
            <w:vAlign w:val="bottom"/>
          </w:tcPr>
          <w:p>
            <w:pPr>
              <w:rPr>
                <w:rFonts w:hint="eastAsia" w:ascii="Arial" w:hAnsi="Arial" w:cs="Arial"/>
                <w:i w:val="0"/>
                <w:color w:val="000000"/>
                <w:sz w:val="20"/>
                <w:szCs w:val="20"/>
                <w:u w:val="none"/>
              </w:rPr>
            </w:pPr>
          </w:p>
        </w:tc>
        <w:tc>
          <w:tcPr>
            <w:tcW w:w="1050" w:type="dxa"/>
            <w:gridSpan w:val="2"/>
            <w:noWrap w:val="0"/>
            <w:vAlign w:val="bottom"/>
          </w:tcPr>
          <w:p>
            <w:pPr>
              <w:rPr>
                <w:rFonts w:hint="eastAsia" w:ascii="Arial" w:hAnsi="Arial" w:cs="Arial"/>
                <w:i w:val="0"/>
                <w:color w:val="000000"/>
                <w:sz w:val="20"/>
                <w:szCs w:val="20"/>
                <w:u w:val="none"/>
              </w:rPr>
            </w:pPr>
          </w:p>
        </w:tc>
        <w:tc>
          <w:tcPr>
            <w:tcW w:w="735" w:type="dxa"/>
            <w:gridSpan w:val="2"/>
            <w:noWrap w:val="0"/>
            <w:vAlign w:val="bottom"/>
          </w:tcPr>
          <w:p>
            <w:pPr>
              <w:rPr>
                <w:rFonts w:hint="eastAsia" w:ascii="Arial" w:hAnsi="Arial" w:cs="Arial"/>
                <w:i w:val="0"/>
                <w:color w:val="000000"/>
                <w:sz w:val="20"/>
                <w:szCs w:val="20"/>
                <w:u w:val="none"/>
              </w:rPr>
            </w:pPr>
          </w:p>
        </w:tc>
        <w:tc>
          <w:tcPr>
            <w:tcW w:w="5101" w:type="dxa"/>
            <w:gridSpan w:val="3"/>
            <w:noWrap w:val="0"/>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285" w:hRule="atLeast"/>
        </w:trPr>
        <w:tc>
          <w:tcPr>
            <w:tcW w:w="8804" w:type="dxa"/>
            <w:gridSpan w:val="10"/>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5101" w:type="dxa"/>
            <w:gridSpan w:val="3"/>
            <w:noWrap w:val="0"/>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30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9495" w:type="dxa"/>
            <w:gridSpan w:val="10"/>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790"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85"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c>
          <w:tcPr>
            <w:tcW w:w="1132"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1838"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050"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c>
          <w:tcPr>
            <w:tcW w:w="1275"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794"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406"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790"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88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132"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838"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050"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75"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794"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06"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工资福利支出</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商品和服务支出</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债务利息及费用支出</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30101</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基本工资</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30201</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办公费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30701</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国内债务付息</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30102</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津贴补贴</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30202</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印刷费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30702</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国外债务付息</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30103</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奖金</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30203</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咨询费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资本性支出</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30106</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伙食补助费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30204</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手续费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31001</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房屋建筑物购建</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30107</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绩效工资</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30205</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水费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31002</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办公设备购置</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30108</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机关事业单位基本养老保险缴费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30206</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电费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31003</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专用设备购置</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30109</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职业年金缴费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30207</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邮电费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31005</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基础设施建设</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30110</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职工基本医疗保险缴费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30208</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取暖费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31006</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大型修缮</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30111</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公务员医疗补助缴费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30209</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物业管理费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31007</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信息网络及软件购置更新</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30112</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其他社会保障缴费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30211</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差旅费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31008</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物资储备</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30113</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住房公积金</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30212</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因公出国（境）费用</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31009</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土地补偿</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 w:type="dxa"/>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30114</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医疗费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30213</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维修（护）费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31010</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安置补助</w:t>
            </w:r>
          </w:p>
        </w:tc>
        <w:tc>
          <w:tcPr>
            <w:tcW w:w="140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30199</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其他工资福利支出</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30214</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租赁费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31011</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地上附着物和青苗补偿</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对个人和家庭的补助</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30215</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会议费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31012</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拆迁补偿</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30301</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离休费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30216</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培训费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31013</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公务用车购置</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30302</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退休费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30217</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公务接待费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31019</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其他交通工具购置</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30303</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退职（役）费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30218</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专用材料费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31021</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文物和陈列品购置</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30304</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抚恤金</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30224</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被装购置费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31022</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无形资产购置</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30305</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生活补助</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30225</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专用燃料费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31099</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其他资本性支出</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30306</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救济费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30226</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劳务费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其他支出</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30307</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医疗费补助</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30227</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委托业务费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39906</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赠与</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30308</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助学金</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30228</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工会经费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39907</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国家赔偿费用支出</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30309</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奖励金</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30229</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福利费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39908</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对民间非营利组织和群众性自治组织补贴</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30310</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个人农业生产补贴</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30231</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公务用车运行维护费</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39999</w:t>
            </w:r>
          </w:p>
        </w:tc>
        <w:tc>
          <w:tcPr>
            <w:tcW w:w="2794"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其他支出</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30311</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代缴社会保险费</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30239</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其他交通费用</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2794" w:type="dxa"/>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30399</w:t>
            </w:r>
          </w:p>
        </w:tc>
        <w:tc>
          <w:tcPr>
            <w:tcW w:w="2790" w:type="dxa"/>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其他对个人和家庭的补助</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30240</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税金及附加费用</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2794" w:type="dxa"/>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2790" w:type="dxa"/>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132"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30299</w:t>
            </w:r>
          </w:p>
        </w:tc>
        <w:tc>
          <w:tcPr>
            <w:tcW w:w="1838" w:type="dxa"/>
            <w:gridSpan w:val="2"/>
            <w:tcBorders>
              <w:bottom w:val="single" w:color="000000" w:sz="4" w:space="0"/>
              <w:right w:val="single" w:color="000000" w:sz="4" w:space="0"/>
            </w:tcBorders>
            <w:shd w:val="clear" w:color="auto" w:fill="C0C0C0"/>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 xml:space="preserve">  其他商品和服务支出</w:t>
            </w:r>
          </w:p>
        </w:tc>
        <w:tc>
          <w:tcPr>
            <w:tcW w:w="1050" w:type="dxa"/>
            <w:gridSpan w:val="2"/>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1275" w:type="dxa"/>
            <w:gridSpan w:val="2"/>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2794" w:type="dxa"/>
            <w:tcBorders>
              <w:bottom w:val="single" w:color="000000" w:sz="4" w:space="0"/>
              <w:right w:val="single" w:color="000000" w:sz="4" w:space="0"/>
            </w:tcBorders>
            <w:shd w:val="clear" w:color="auto" w:fill="C0C0C0"/>
            <w:noWrap w:val="0"/>
            <w:vAlign w:val="center"/>
          </w:tcPr>
          <w:p>
            <w:pPr>
              <w:jc w:val="left"/>
              <w:rPr>
                <w:rFonts w:hint="eastAsia" w:ascii="宋体" w:hAnsi="宋体" w:eastAsia="宋体" w:cs="宋体"/>
                <w:i w:val="0"/>
                <w:color w:val="000000"/>
                <w:sz w:val="22"/>
                <w:szCs w:val="22"/>
                <w:u w:val="none"/>
              </w:rPr>
            </w:pP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525"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人员经费合计</w:t>
            </w:r>
          </w:p>
        </w:tc>
        <w:tc>
          <w:tcPr>
            <w:tcW w:w="885" w:type="dxa"/>
            <w:tcBorders>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color w:val="000000"/>
                <w:sz w:val="22"/>
                <w:szCs w:val="22"/>
                <w:u w:val="none"/>
              </w:rPr>
            </w:pPr>
          </w:p>
        </w:tc>
        <w:tc>
          <w:tcPr>
            <w:tcW w:w="8089" w:type="dxa"/>
            <w:gridSpan w:val="9"/>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公用经费合计</w:t>
            </w:r>
          </w:p>
        </w:tc>
        <w:tc>
          <w:tcPr>
            <w:tcW w:w="1425"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924" w:type="dxa"/>
            <w:gridSpan w:val="14"/>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注：本表反映部门本年度一般公共预算财政拨款基本支出明细情况。</w:t>
            </w:r>
          </w:p>
        </w:tc>
      </w:tr>
    </w:tbl>
    <w:p/>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04"/>
        <w:gridCol w:w="937"/>
        <w:gridCol w:w="900"/>
        <w:gridCol w:w="900"/>
        <w:gridCol w:w="900"/>
        <w:gridCol w:w="1244"/>
        <w:gridCol w:w="900"/>
        <w:gridCol w:w="320"/>
        <w:gridCol w:w="617"/>
        <w:gridCol w:w="770"/>
        <w:gridCol w:w="130"/>
        <w:gridCol w:w="900"/>
        <w:gridCol w:w="245"/>
        <w:gridCol w:w="1144"/>
        <w:gridCol w:w="1144"/>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942" w:type="dxa"/>
            <w:gridSpan w:val="16"/>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04" w:type="dxa"/>
            <w:noWrap w:val="0"/>
            <w:vAlign w:val="bottom"/>
          </w:tcPr>
          <w:p>
            <w:pPr>
              <w:rPr>
                <w:rFonts w:hint="eastAsia" w:ascii="Arial" w:hAnsi="Arial" w:cs="Arial"/>
                <w:i w:val="0"/>
                <w:color w:val="000000"/>
                <w:sz w:val="20"/>
                <w:szCs w:val="20"/>
                <w:u w:val="none"/>
              </w:rPr>
            </w:pPr>
          </w:p>
        </w:tc>
        <w:tc>
          <w:tcPr>
            <w:tcW w:w="937" w:type="dxa"/>
            <w:noWrap w:val="0"/>
            <w:vAlign w:val="bottom"/>
          </w:tcPr>
          <w:p>
            <w:pPr>
              <w:rPr>
                <w:rFonts w:hint="eastAsia" w:ascii="Arial" w:hAnsi="Arial" w:cs="Arial"/>
                <w:i w:val="0"/>
                <w:color w:val="000000"/>
                <w:sz w:val="20"/>
                <w:szCs w:val="20"/>
                <w:u w:val="none"/>
              </w:rPr>
            </w:pPr>
          </w:p>
        </w:tc>
        <w:tc>
          <w:tcPr>
            <w:tcW w:w="900" w:type="dxa"/>
            <w:noWrap w:val="0"/>
            <w:vAlign w:val="bottom"/>
          </w:tcPr>
          <w:p>
            <w:pPr>
              <w:rPr>
                <w:rFonts w:hint="eastAsia" w:ascii="Arial" w:hAnsi="Arial" w:cs="Arial"/>
                <w:i w:val="0"/>
                <w:color w:val="000000"/>
                <w:sz w:val="20"/>
                <w:szCs w:val="20"/>
                <w:u w:val="none"/>
              </w:rPr>
            </w:pPr>
          </w:p>
        </w:tc>
        <w:tc>
          <w:tcPr>
            <w:tcW w:w="900" w:type="dxa"/>
            <w:noWrap w:val="0"/>
            <w:vAlign w:val="bottom"/>
          </w:tcPr>
          <w:p>
            <w:pPr>
              <w:rPr>
                <w:rFonts w:hint="eastAsia" w:ascii="Arial" w:hAnsi="Arial" w:cs="Arial"/>
                <w:i w:val="0"/>
                <w:color w:val="000000"/>
                <w:sz w:val="20"/>
                <w:szCs w:val="20"/>
                <w:u w:val="none"/>
              </w:rPr>
            </w:pPr>
          </w:p>
        </w:tc>
        <w:tc>
          <w:tcPr>
            <w:tcW w:w="900" w:type="dxa"/>
            <w:noWrap w:val="0"/>
            <w:vAlign w:val="bottom"/>
          </w:tcPr>
          <w:p>
            <w:pPr>
              <w:rPr>
                <w:rFonts w:hint="eastAsia" w:ascii="Arial" w:hAnsi="Arial" w:cs="Arial"/>
                <w:i w:val="0"/>
                <w:color w:val="000000"/>
                <w:sz w:val="20"/>
                <w:szCs w:val="20"/>
                <w:u w:val="none"/>
              </w:rPr>
            </w:pPr>
          </w:p>
        </w:tc>
        <w:tc>
          <w:tcPr>
            <w:tcW w:w="1244" w:type="dxa"/>
            <w:noWrap w:val="0"/>
            <w:vAlign w:val="bottom"/>
          </w:tcPr>
          <w:p>
            <w:pPr>
              <w:rPr>
                <w:rFonts w:hint="eastAsia" w:ascii="Arial" w:hAnsi="Arial" w:cs="Arial"/>
                <w:i w:val="0"/>
                <w:color w:val="000000"/>
                <w:sz w:val="20"/>
                <w:szCs w:val="20"/>
                <w:u w:val="none"/>
              </w:rPr>
            </w:pPr>
          </w:p>
        </w:tc>
        <w:tc>
          <w:tcPr>
            <w:tcW w:w="900" w:type="dxa"/>
            <w:noWrap w:val="0"/>
            <w:vAlign w:val="bottom"/>
          </w:tcPr>
          <w:p>
            <w:pPr>
              <w:rPr>
                <w:rFonts w:hint="eastAsia" w:ascii="Arial" w:hAnsi="Arial" w:cs="Arial"/>
                <w:i w:val="0"/>
                <w:color w:val="000000"/>
                <w:sz w:val="20"/>
                <w:szCs w:val="20"/>
                <w:u w:val="none"/>
              </w:rPr>
            </w:pPr>
          </w:p>
        </w:tc>
        <w:tc>
          <w:tcPr>
            <w:tcW w:w="937" w:type="dxa"/>
            <w:gridSpan w:val="2"/>
            <w:noWrap w:val="0"/>
            <w:vAlign w:val="bottom"/>
          </w:tcPr>
          <w:p>
            <w:pPr>
              <w:rPr>
                <w:rFonts w:hint="eastAsia" w:ascii="Arial" w:hAnsi="Arial" w:cs="Arial"/>
                <w:i w:val="0"/>
                <w:color w:val="000000"/>
                <w:sz w:val="20"/>
                <w:szCs w:val="20"/>
                <w:u w:val="none"/>
              </w:rPr>
            </w:pPr>
          </w:p>
        </w:tc>
        <w:tc>
          <w:tcPr>
            <w:tcW w:w="900" w:type="dxa"/>
            <w:gridSpan w:val="2"/>
            <w:noWrap w:val="0"/>
            <w:vAlign w:val="bottom"/>
          </w:tcPr>
          <w:p>
            <w:pPr>
              <w:rPr>
                <w:rFonts w:hint="eastAsia" w:ascii="Arial" w:hAnsi="Arial" w:cs="Arial"/>
                <w:i w:val="0"/>
                <w:color w:val="000000"/>
                <w:sz w:val="20"/>
                <w:szCs w:val="20"/>
                <w:u w:val="none"/>
              </w:rPr>
            </w:pPr>
          </w:p>
        </w:tc>
        <w:tc>
          <w:tcPr>
            <w:tcW w:w="900" w:type="dxa"/>
            <w:noWrap w:val="0"/>
            <w:vAlign w:val="bottom"/>
          </w:tcPr>
          <w:p>
            <w:pPr>
              <w:rPr>
                <w:rFonts w:hint="eastAsia" w:ascii="Arial" w:hAnsi="Arial" w:cs="Arial"/>
                <w:i w:val="0"/>
                <w:color w:val="000000"/>
                <w:sz w:val="20"/>
                <w:szCs w:val="20"/>
                <w:u w:val="none"/>
              </w:rPr>
            </w:pPr>
          </w:p>
        </w:tc>
        <w:tc>
          <w:tcPr>
            <w:tcW w:w="4220" w:type="dxa"/>
            <w:gridSpan w:val="4"/>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722" w:type="dxa"/>
            <w:gridSpan w:val="12"/>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4220" w:type="dxa"/>
            <w:gridSpan w:val="4"/>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085" w:type="dxa"/>
            <w:gridSpan w:val="6"/>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7857" w:type="dxa"/>
            <w:gridSpan w:val="10"/>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04" w:type="dxa"/>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937"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因公出国（境）费</w:t>
            </w:r>
          </w:p>
        </w:tc>
        <w:tc>
          <w:tcPr>
            <w:tcW w:w="2700"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公务用车购置及运行费</w:t>
            </w:r>
          </w:p>
        </w:tc>
        <w:tc>
          <w:tcPr>
            <w:tcW w:w="1244"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公务接待费</w:t>
            </w:r>
          </w:p>
        </w:tc>
        <w:tc>
          <w:tcPr>
            <w:tcW w:w="1220"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387"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因公出国（境）费</w:t>
            </w:r>
          </w:p>
        </w:tc>
        <w:tc>
          <w:tcPr>
            <w:tcW w:w="3563" w:type="dxa"/>
            <w:gridSpan w:val="5"/>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公务用车购置及运行费</w:t>
            </w:r>
          </w:p>
        </w:tc>
        <w:tc>
          <w:tcPr>
            <w:tcW w:w="1687"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04" w:type="dxa"/>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937"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公务用车购置费</w:t>
            </w: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公务用车运行费</w:t>
            </w:r>
          </w:p>
        </w:tc>
        <w:tc>
          <w:tcPr>
            <w:tcW w:w="1244"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20"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87"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275"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1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公务用车购置费</w:t>
            </w:r>
          </w:p>
        </w:tc>
        <w:tc>
          <w:tcPr>
            <w:tcW w:w="11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公务用车运行费</w:t>
            </w:r>
          </w:p>
        </w:tc>
        <w:tc>
          <w:tcPr>
            <w:tcW w:w="1687"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04"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93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00"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2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220"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387"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1275" w:type="dxa"/>
            <w:gridSpan w:val="3"/>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11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11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1687"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04" w:type="dxa"/>
            <w:tcBorders>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3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0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20"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87"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275" w:type="dxa"/>
            <w:gridSpan w:val="3"/>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942" w:type="dxa"/>
            <w:gridSpan w:val="16"/>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
    <w:p/>
    <w:p/>
    <w:p/>
    <w:p/>
    <w:p/>
    <w:p/>
    <w:p/>
    <w:p/>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2"/>
        <w:gridCol w:w="909"/>
        <w:gridCol w:w="909"/>
        <w:gridCol w:w="2186"/>
        <w:gridCol w:w="484"/>
        <w:gridCol w:w="1204"/>
        <w:gridCol w:w="474"/>
        <w:gridCol w:w="960"/>
        <w:gridCol w:w="960"/>
        <w:gridCol w:w="343"/>
        <w:gridCol w:w="617"/>
        <w:gridCol w:w="939"/>
        <w:gridCol w:w="1575"/>
        <w:gridCol w:w="1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36" w:type="dxa"/>
            <w:gridSpan w:val="14"/>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32"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2670" w:type="dxa"/>
            <w:gridSpan w:val="2"/>
            <w:noWrap w:val="0"/>
            <w:vAlign w:val="bottom"/>
          </w:tcPr>
          <w:p>
            <w:pPr>
              <w:rPr>
                <w:rFonts w:hint="eastAsia" w:ascii="Arial" w:hAnsi="Arial" w:cs="Arial"/>
                <w:i w:val="0"/>
                <w:color w:val="000000"/>
                <w:sz w:val="20"/>
                <w:szCs w:val="20"/>
                <w:u w:val="none"/>
              </w:rPr>
            </w:pPr>
          </w:p>
        </w:tc>
        <w:tc>
          <w:tcPr>
            <w:tcW w:w="1678" w:type="dxa"/>
            <w:gridSpan w:val="2"/>
            <w:noWrap w:val="0"/>
            <w:vAlign w:val="bottom"/>
          </w:tcPr>
          <w:p>
            <w:pPr>
              <w:rPr>
                <w:rFonts w:hint="eastAsia" w:ascii="Arial" w:hAnsi="Arial" w:cs="Arial"/>
                <w:i w:val="0"/>
                <w:color w:val="000000"/>
                <w:sz w:val="20"/>
                <w:szCs w:val="20"/>
                <w:u w:val="none"/>
              </w:rPr>
            </w:pPr>
          </w:p>
        </w:tc>
        <w:tc>
          <w:tcPr>
            <w:tcW w:w="960" w:type="dxa"/>
            <w:noWrap w:val="0"/>
            <w:vAlign w:val="bottom"/>
          </w:tcPr>
          <w:p>
            <w:pPr>
              <w:rPr>
                <w:rFonts w:hint="eastAsia" w:ascii="Arial" w:hAnsi="Arial" w:cs="Arial"/>
                <w:i w:val="0"/>
                <w:color w:val="000000"/>
                <w:sz w:val="20"/>
                <w:szCs w:val="20"/>
                <w:u w:val="none"/>
              </w:rPr>
            </w:pPr>
          </w:p>
        </w:tc>
        <w:tc>
          <w:tcPr>
            <w:tcW w:w="960" w:type="dxa"/>
            <w:noWrap w:val="0"/>
            <w:vAlign w:val="bottom"/>
          </w:tcPr>
          <w:p>
            <w:pPr>
              <w:rPr>
                <w:rFonts w:hint="eastAsia" w:ascii="Arial" w:hAnsi="Arial" w:cs="Arial"/>
                <w:i w:val="0"/>
                <w:color w:val="000000"/>
                <w:sz w:val="20"/>
                <w:szCs w:val="20"/>
                <w:u w:val="none"/>
              </w:rPr>
            </w:pPr>
          </w:p>
        </w:tc>
        <w:tc>
          <w:tcPr>
            <w:tcW w:w="960" w:type="dxa"/>
            <w:gridSpan w:val="2"/>
            <w:noWrap w:val="0"/>
            <w:vAlign w:val="bottom"/>
          </w:tcPr>
          <w:p>
            <w:pPr>
              <w:rPr>
                <w:rFonts w:hint="eastAsia" w:ascii="Arial" w:hAnsi="Arial" w:cs="Arial"/>
                <w:i w:val="0"/>
                <w:color w:val="000000"/>
                <w:sz w:val="20"/>
                <w:szCs w:val="20"/>
                <w:u w:val="none"/>
              </w:rPr>
            </w:pPr>
          </w:p>
        </w:tc>
        <w:tc>
          <w:tcPr>
            <w:tcW w:w="4258"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478" w:type="dxa"/>
            <w:gridSpan w:val="11"/>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4258"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36"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688"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年初结转和结余</w:t>
            </w:r>
          </w:p>
        </w:tc>
        <w:tc>
          <w:tcPr>
            <w:tcW w:w="1434" w:type="dxa"/>
            <w:gridSpan w:val="2"/>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4434" w:type="dxa"/>
            <w:gridSpan w:val="5"/>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w:t>
            </w:r>
          </w:p>
        </w:tc>
        <w:tc>
          <w:tcPr>
            <w:tcW w:w="1744" w:type="dxa"/>
            <w:vMerge w:val="restart"/>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2186"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688"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34"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03"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556"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575"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744"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186"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688"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34"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03"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56"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7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744"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186"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688"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434" w:type="dxa"/>
            <w:gridSpan w:val="2"/>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303"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56"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575"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1744" w:type="dxa"/>
            <w:vMerge w:val="continue"/>
            <w:tcBorders>
              <w:top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36" w:type="dxa"/>
            <w:gridSpan w:val="4"/>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688"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434"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303"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556"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575"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74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36" w:type="dxa"/>
            <w:gridSpan w:val="4"/>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86"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8"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34"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03"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5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74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36" w:type="dxa"/>
            <w:gridSpan w:val="14"/>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注：本表反映部门本年度政府性基金预算财政拨款收入、支出及结转和结余情况。</w:t>
            </w:r>
          </w:p>
        </w:tc>
      </w:tr>
    </w:tbl>
    <w:p/>
    <w:p/>
    <w:p/>
    <w:p/>
    <w:p/>
    <w:p/>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2"/>
        <w:gridCol w:w="909"/>
        <w:gridCol w:w="909"/>
        <w:gridCol w:w="3930"/>
        <w:gridCol w:w="908"/>
        <w:gridCol w:w="772"/>
        <w:gridCol w:w="1344"/>
        <w:gridCol w:w="2284"/>
        <w:gridCol w:w="2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71" w:type="dxa"/>
            <w:gridSpan w:val="9"/>
            <w:noWrap w:val="0"/>
            <w:vAlign w:val="bottom"/>
          </w:tcPr>
          <w:p>
            <w:pPr>
              <w:jc w:val="center"/>
              <w:rPr>
                <w:rFonts w:hint="eastAsia" w:ascii="Arial" w:hAnsi="Arial" w:cs="Arial"/>
                <w:i w:val="0"/>
                <w:color w:val="000000"/>
                <w:sz w:val="20"/>
                <w:szCs w:val="20"/>
                <w:u w:val="none"/>
              </w:rPr>
            </w:pPr>
            <w:r>
              <w:rPr>
                <w:rFonts w:hint="eastAsia" w:ascii="Times New Roman" w:hAnsi="Times New Roman" w:eastAsia="宋体"/>
                <w:kern w:val="2"/>
                <w:sz w:val="32"/>
                <w:szCs w:val="32"/>
                <w:lang w:val="en-US" w:eastAsia="zh-CN" w:bidi="ar-SA"/>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32"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909" w:type="dxa"/>
            <w:noWrap w:val="0"/>
            <w:vAlign w:val="bottom"/>
          </w:tcPr>
          <w:p>
            <w:pPr>
              <w:rPr>
                <w:rFonts w:hint="eastAsia" w:ascii="Arial" w:hAnsi="Arial" w:cs="Arial"/>
                <w:i w:val="0"/>
                <w:color w:val="000000"/>
                <w:sz w:val="20"/>
                <w:szCs w:val="20"/>
                <w:u w:val="none"/>
              </w:rPr>
            </w:pPr>
          </w:p>
        </w:tc>
        <w:tc>
          <w:tcPr>
            <w:tcW w:w="3930" w:type="dxa"/>
            <w:noWrap w:val="0"/>
            <w:vAlign w:val="bottom"/>
          </w:tcPr>
          <w:p>
            <w:pPr>
              <w:rPr>
                <w:rFonts w:hint="eastAsia" w:ascii="Arial" w:hAnsi="Arial" w:cs="Arial"/>
                <w:i w:val="0"/>
                <w:color w:val="000000"/>
                <w:sz w:val="20"/>
                <w:szCs w:val="20"/>
                <w:u w:val="none"/>
              </w:rPr>
            </w:pPr>
          </w:p>
        </w:tc>
        <w:tc>
          <w:tcPr>
            <w:tcW w:w="1680" w:type="dxa"/>
            <w:gridSpan w:val="2"/>
            <w:noWrap w:val="0"/>
            <w:vAlign w:val="bottom"/>
          </w:tcPr>
          <w:p>
            <w:pPr>
              <w:rPr>
                <w:rFonts w:hint="eastAsia" w:ascii="Arial" w:hAnsi="Arial" w:cs="Arial"/>
                <w:i w:val="0"/>
                <w:color w:val="000000"/>
                <w:sz w:val="20"/>
                <w:szCs w:val="20"/>
                <w:u w:val="none"/>
              </w:rPr>
            </w:pPr>
          </w:p>
        </w:tc>
        <w:tc>
          <w:tcPr>
            <w:tcW w:w="5911"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860" w:type="dxa"/>
            <w:gridSpan w:val="6"/>
            <w:noWrap w:val="0"/>
            <w:vAlign w:val="bottom"/>
          </w:tcPr>
          <w:p>
            <w:pPr>
              <w:rPr>
                <w:rFonts w:hint="eastAsia"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部门：工业和信息化部网络安全产业发展中心（工业和信息化部信息中心）</w:t>
            </w:r>
          </w:p>
        </w:tc>
        <w:tc>
          <w:tcPr>
            <w:tcW w:w="5911" w:type="dxa"/>
            <w:gridSpan w:val="3"/>
            <w:noWrap w:val="0"/>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88" w:type="dxa"/>
            <w:gridSpan w:val="5"/>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6683" w:type="dxa"/>
            <w:gridSpan w:val="4"/>
            <w:tcBorders>
              <w:top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功能分类科目编码</w:t>
            </w:r>
          </w:p>
        </w:tc>
        <w:tc>
          <w:tcPr>
            <w:tcW w:w="4838"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16" w:type="dxa"/>
            <w:gridSpan w:val="2"/>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284"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283" w:type="dxa"/>
            <w:vMerge w:val="restart"/>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4838"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116"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84"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83"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4838"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116" w:type="dxa"/>
            <w:gridSpan w:val="2"/>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84"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c>
          <w:tcPr>
            <w:tcW w:w="2283" w:type="dxa"/>
            <w:vMerge w:val="continue"/>
            <w:tcBorders>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88" w:type="dxa"/>
            <w:gridSpan w:val="5"/>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116" w:type="dxa"/>
            <w:gridSpan w:val="2"/>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284"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283" w:type="dxa"/>
            <w:tcBorders>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88" w:type="dxa"/>
            <w:gridSpan w:val="5"/>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4838"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116" w:type="dxa"/>
            <w:gridSpan w:val="2"/>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8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71" w:type="dxa"/>
            <w:gridSpan w:val="9"/>
            <w:noWrap w:val="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注：本表反映部门本年度国有资本经营预算财政拨款支出情况。</w:t>
            </w:r>
          </w:p>
        </w:tc>
      </w:tr>
    </w:tbl>
    <w:p/>
    <w:p/>
    <w:p/>
    <w:p>
      <w:pPr>
        <w:sectPr>
          <w:pgSz w:w="16840" w:h="11907" w:orient="landscape"/>
          <w:pgMar w:top="1797" w:right="1440" w:bottom="1797" w:left="1440" w:header="851" w:footer="992" w:gutter="0"/>
          <w:paperSrc/>
          <w:pgNumType w:fmt="decimal"/>
          <w:cols w:space="720" w:num="1"/>
          <w:rtlGutter w:val="0"/>
          <w:docGrid w:type="lines" w:linePitch="319" w:charSpace="0"/>
        </w:sectPr>
      </w:pPr>
    </w:p>
    <w:p/>
    <w:p>
      <w:pPr>
        <w:rPr>
          <w:rFonts w:hint="eastAsia" w:ascii="Times New Roman" w:hAnsi="Times New Roman" w:eastAsia="黑体"/>
          <w:b w:val="0"/>
          <w:kern w:val="44"/>
          <w:sz w:val="72"/>
          <w:szCs w:val="72"/>
          <w:lang w:val="en-US" w:eastAsia="zh-CN" w:bidi="ar-SA"/>
        </w:rPr>
      </w:pPr>
    </w:p>
    <w:p>
      <w:pPr>
        <w:snapToGrid w:val="0"/>
        <w:spacing w:line="360" w:lineRule="auto"/>
        <w:jc w:val="center"/>
        <w:rPr>
          <w:rFonts w:hint="eastAsia" w:ascii="Times New Roman" w:hAnsi="Times New Roman" w:eastAsia="黑体"/>
          <w:b w:val="0"/>
          <w:kern w:val="44"/>
          <w:sz w:val="72"/>
          <w:szCs w:val="72"/>
          <w:lang w:val="en-US" w:eastAsia="zh-CN" w:bidi="ar-SA"/>
        </w:rPr>
      </w:pPr>
    </w:p>
    <w:p>
      <w:pPr>
        <w:snapToGrid w:val="0"/>
        <w:spacing w:line="360" w:lineRule="auto"/>
        <w:jc w:val="center"/>
        <w:rPr>
          <w:rFonts w:hint="eastAsia" w:ascii="Times New Roman" w:hAnsi="Times New Roman" w:eastAsia="黑体"/>
          <w:b w:val="0"/>
          <w:kern w:val="44"/>
          <w:sz w:val="72"/>
          <w:szCs w:val="72"/>
          <w:lang w:val="en-US" w:eastAsia="zh-CN" w:bidi="ar-SA"/>
        </w:rPr>
      </w:pPr>
    </w:p>
    <w:p>
      <w:pPr>
        <w:snapToGrid w:val="0"/>
        <w:spacing w:line="360" w:lineRule="auto"/>
        <w:jc w:val="center"/>
        <w:rPr>
          <w:rFonts w:hint="eastAsia" w:ascii="Times New Roman" w:hAnsi="Times New Roman" w:eastAsia="黑体"/>
          <w:b w:val="0"/>
          <w:kern w:val="44"/>
          <w:sz w:val="72"/>
          <w:szCs w:val="72"/>
          <w:lang w:val="en-US" w:eastAsia="zh-CN" w:bidi="ar-SA"/>
        </w:rPr>
      </w:pPr>
      <w:r>
        <w:rPr>
          <w:rFonts w:hint="eastAsia" w:ascii="Times New Roman" w:hAnsi="Times New Roman" w:eastAsia="黑体"/>
          <w:b w:val="0"/>
          <w:kern w:val="44"/>
          <w:sz w:val="72"/>
          <w:szCs w:val="72"/>
          <w:lang w:val="en-US" w:eastAsia="zh-CN" w:bidi="ar-SA"/>
        </w:rPr>
        <w:t>第三部分</w:t>
      </w:r>
    </w:p>
    <w:p>
      <w:pPr>
        <w:snapToGrid w:val="0"/>
        <w:spacing w:line="360" w:lineRule="auto"/>
        <w:jc w:val="center"/>
        <w:rPr>
          <w:rFonts w:hint="default" w:ascii="Times New Roman" w:hAnsi="Times New Roman" w:eastAsia="黑体"/>
          <w:b w:val="0"/>
          <w:kern w:val="44"/>
          <w:sz w:val="72"/>
          <w:szCs w:val="72"/>
          <w:lang w:val="en-US" w:eastAsia="zh-CN" w:bidi="ar-SA"/>
        </w:rPr>
      </w:pPr>
      <w:r>
        <w:rPr>
          <w:rFonts w:hint="eastAsia" w:ascii="Times New Roman" w:hAnsi="Times New Roman" w:eastAsia="黑体"/>
          <w:b w:val="0"/>
          <w:kern w:val="44"/>
          <w:sz w:val="72"/>
          <w:szCs w:val="72"/>
          <w:lang w:val="en-US" w:eastAsia="zh-CN" w:bidi="ar-SA"/>
        </w:rPr>
        <w:fldChar w:fldCharType="begin"/>
      </w:r>
      <w:r>
        <w:rPr>
          <w:rFonts w:hint="eastAsia" w:ascii="Times New Roman" w:hAnsi="Times New Roman" w:eastAsia="黑体"/>
          <w:b w:val="0"/>
          <w:kern w:val="44"/>
          <w:sz w:val="72"/>
          <w:szCs w:val="72"/>
          <w:lang w:val="en-US" w:eastAsia="zh-CN" w:bidi="ar-SA"/>
        </w:rPr>
        <w:instrText xml:space="preserve"> HYPERLINK \l _Toc13467 </w:instrText>
      </w:r>
      <w:r>
        <w:rPr>
          <w:rFonts w:hint="eastAsia" w:ascii="Times New Roman" w:hAnsi="Times New Roman" w:eastAsia="黑体"/>
          <w:b w:val="0"/>
          <w:kern w:val="44"/>
          <w:sz w:val="72"/>
          <w:szCs w:val="72"/>
          <w:lang w:val="en-US" w:eastAsia="zh-CN" w:bidi="ar-SA"/>
        </w:rPr>
        <w:fldChar w:fldCharType="separate"/>
      </w:r>
      <w:r>
        <w:rPr>
          <w:rFonts w:hint="eastAsia" w:ascii="Times New Roman" w:hAnsi="Times New Roman" w:eastAsia="黑体"/>
          <w:b w:val="0"/>
          <w:kern w:val="44"/>
          <w:sz w:val="72"/>
          <w:szCs w:val="72"/>
          <w:lang w:val="en-US" w:eastAsia="zh-CN" w:bidi="ar-SA"/>
        </w:rPr>
        <w:t>2020年度部门决算</w:t>
      </w:r>
      <w:r>
        <w:rPr>
          <w:rFonts w:hint="eastAsia" w:ascii="Times New Roman" w:hAnsi="Times New Roman" w:eastAsia="黑体"/>
          <w:b w:val="0"/>
          <w:kern w:val="44"/>
          <w:sz w:val="72"/>
          <w:szCs w:val="72"/>
          <w:lang w:val="en-US" w:eastAsia="zh-CN" w:bidi="ar-SA"/>
        </w:rPr>
        <w:fldChar w:fldCharType="end"/>
      </w:r>
      <w:r>
        <w:rPr>
          <w:rFonts w:hint="eastAsia" w:ascii="Times New Roman" w:hAnsi="Times New Roman" w:eastAsia="黑体"/>
          <w:b w:val="0"/>
          <w:kern w:val="44"/>
          <w:sz w:val="72"/>
          <w:szCs w:val="72"/>
          <w:lang w:val="en-US" w:eastAsia="zh-CN" w:bidi="ar-SA"/>
        </w:rPr>
        <w:t>情况说明</w:t>
      </w:r>
    </w:p>
    <w:p>
      <w:pPr>
        <w:snapToGrid w:val="0"/>
        <w:spacing w:line="360" w:lineRule="auto"/>
        <w:jc w:val="center"/>
        <w:rPr>
          <w:rFonts w:hint="eastAsia" w:ascii="Times New Roman" w:hAnsi="Times New Roman" w:eastAsia="黑体"/>
          <w:b w:val="0"/>
          <w:kern w:val="44"/>
          <w:sz w:val="72"/>
          <w:szCs w:val="72"/>
          <w:lang w:val="en-US" w:eastAsia="zh-CN" w:bidi="ar-SA"/>
        </w:rPr>
        <w:sectPr>
          <w:pgSz w:w="11907" w:h="16840"/>
          <w:pgMar w:top="1440" w:right="1797" w:bottom="1440" w:left="1797" w:header="851" w:footer="992" w:gutter="0"/>
          <w:paperSrc/>
          <w:pgNumType w:fmt="decimal"/>
          <w:cols w:space="720" w:num="1"/>
          <w:rtlGutter w:val="0"/>
          <w:docGrid w:type="lines" w:linePitch="319" w:charSpace="0"/>
        </w:sectPr>
      </w:pPr>
    </w:p>
    <w:p>
      <w:pPr>
        <w:pStyle w:val="4"/>
        <w:rPr>
          <w:rFonts w:hint="eastAsia"/>
          <w:lang w:val="en-US" w:eastAsia="zh-CN"/>
        </w:rPr>
      </w:pPr>
    </w:p>
    <w:p>
      <w:pPr>
        <w:pStyle w:val="3"/>
        <w:ind w:left="0" w:leftChars="0" w:firstLine="640" w:firstLineChars="200"/>
        <w:jc w:val="left"/>
        <w:rPr>
          <w:rFonts w:hint="eastAsia" w:ascii="Times New Roman" w:hAnsi="Times New Roman"/>
        </w:rPr>
      </w:pPr>
      <w:bookmarkStart w:id="6" w:name="_Toc19660"/>
      <w:bookmarkStart w:id="7" w:name="_Toc16120"/>
      <w:bookmarkStart w:id="8" w:name="_Toc25159"/>
      <w:bookmarkStart w:id="9" w:name="_Toc29792"/>
      <w:bookmarkStart w:id="10" w:name="_Toc16323"/>
      <w:bookmarkStart w:id="11" w:name="_Toc31711"/>
      <w:bookmarkStart w:id="12" w:name="_Toc6104"/>
      <w:bookmarkStart w:id="13" w:name="_Toc15449"/>
      <w:bookmarkStart w:id="14" w:name="_Toc26426"/>
      <w:bookmarkStart w:id="15" w:name="_Toc22806"/>
    </w:p>
    <w:p>
      <w:pPr>
        <w:pStyle w:val="3"/>
        <w:ind w:left="0" w:leftChars="0" w:firstLine="640" w:firstLineChars="200"/>
        <w:jc w:val="left"/>
        <w:rPr>
          <w:rFonts w:hint="eastAsia" w:ascii="Times New Roman" w:hAnsi="Times New Roman"/>
        </w:rPr>
      </w:pPr>
      <w:r>
        <w:rPr>
          <w:rFonts w:hint="eastAsia" w:ascii="Times New Roman" w:hAnsi="Times New Roman"/>
        </w:rPr>
        <w:t>一、</w:t>
      </w:r>
      <w:r>
        <w:rPr>
          <w:rFonts w:hint="eastAsia" w:ascii="Times New Roman" w:hAnsi="Times New Roman"/>
          <w:lang w:eastAsia="zh-CN"/>
        </w:rPr>
        <w:t>收入支出决算总体</w:t>
      </w:r>
      <w:r>
        <w:rPr>
          <w:rFonts w:hint="eastAsia" w:ascii="Times New Roman" w:hAnsi="Times New Roman"/>
        </w:rPr>
        <w:t>情况说明</w:t>
      </w:r>
      <w:bookmarkEnd w:id="6"/>
      <w:bookmarkEnd w:id="7"/>
      <w:bookmarkEnd w:id="8"/>
      <w:bookmarkEnd w:id="9"/>
      <w:bookmarkEnd w:id="10"/>
      <w:bookmarkEnd w:id="11"/>
      <w:bookmarkEnd w:id="12"/>
      <w:bookmarkEnd w:id="13"/>
      <w:bookmarkEnd w:id="14"/>
      <w:bookmarkEnd w:id="15"/>
    </w:p>
    <w:p>
      <w:pPr>
        <w:ind w:firstLine="640" w:firstLineChars="200"/>
        <w:rPr>
          <w:rFonts w:hint="eastAsia" w:ascii="Times New Roman" w:hAnsi="Times New Roman" w:eastAsia="仿宋_GB2312"/>
          <w:sz w:val="32"/>
          <w:lang w:val="en-US" w:eastAsia="zh-CN"/>
        </w:rPr>
      </w:pPr>
      <w:r>
        <w:rPr>
          <w:rFonts w:hint="eastAsia" w:ascii="Times New Roman" w:hAnsi="Times New Roman" w:eastAsia="仿宋_GB2312"/>
          <w:sz w:val="32"/>
        </w:rPr>
        <w:t>20</w:t>
      </w:r>
      <w:r>
        <w:rPr>
          <w:rFonts w:hint="eastAsia" w:ascii="Times New Roman" w:hAnsi="Times New Roman" w:eastAsia="仿宋_GB2312"/>
          <w:sz w:val="32"/>
          <w:lang w:val="en-US" w:eastAsia="zh-CN"/>
        </w:rPr>
        <w:t>20</w:t>
      </w:r>
      <w:r>
        <w:rPr>
          <w:rFonts w:hint="eastAsia" w:ascii="Times New Roman" w:hAnsi="Times New Roman" w:eastAsia="仿宋_GB2312"/>
          <w:sz w:val="32"/>
        </w:rPr>
        <w:t>年度</w:t>
      </w:r>
      <w:r>
        <w:rPr>
          <w:rFonts w:hint="eastAsia" w:ascii="Times New Roman" w:hAnsi="Times New Roman" w:eastAsia="仿宋_GB2312"/>
          <w:sz w:val="32"/>
          <w:lang w:eastAsia="zh-CN"/>
        </w:rPr>
        <w:t>我</w:t>
      </w:r>
      <w:r>
        <w:rPr>
          <w:rFonts w:hint="eastAsia" w:ascii="Times New Roman" w:hAnsi="Times New Roman" w:eastAsia="仿宋_GB2312"/>
          <w:sz w:val="32"/>
          <w:lang w:val="en-US" w:eastAsia="zh-CN"/>
        </w:rPr>
        <w:t>中心</w:t>
      </w:r>
      <w:r>
        <w:rPr>
          <w:rFonts w:hint="eastAsia" w:ascii="Times New Roman" w:hAnsi="Times New Roman" w:eastAsia="仿宋_GB2312"/>
          <w:sz w:val="32"/>
          <w:lang w:eastAsia="zh-CN"/>
        </w:rPr>
        <w:t>收、</w:t>
      </w:r>
      <w:r>
        <w:rPr>
          <w:rFonts w:hint="eastAsia" w:ascii="Times New Roman" w:hAnsi="Times New Roman" w:eastAsia="仿宋_GB2312"/>
          <w:sz w:val="32"/>
          <w:lang w:val="zh-CN"/>
        </w:rPr>
        <w:t>支总计</w:t>
      </w:r>
      <w:r>
        <w:rPr>
          <w:rFonts w:hint="eastAsia" w:ascii="Times New Roman" w:hAnsi="Times New Roman" w:eastAsia="仿宋_GB2312"/>
          <w:sz w:val="32"/>
          <w:lang w:val="en-US" w:eastAsia="zh-CN"/>
        </w:rPr>
        <w:t>8345.54万元。</w:t>
      </w:r>
      <w:r>
        <w:rPr>
          <w:rFonts w:hint="eastAsia" w:ascii="Times New Roman" w:hAnsi="Times New Roman" w:eastAsia="仿宋_GB2312" w:cs="Times New Roman"/>
          <w:b w:val="0"/>
          <w:i w:val="0"/>
          <w:snapToGrid/>
          <w:color w:val="000000"/>
          <w:sz w:val="32"/>
          <w:u w:val="none"/>
          <w:lang w:val="en-US" w:eastAsia="zh-CN"/>
        </w:rPr>
        <w:t>与2019年相比，收、支总计减少2069.55万元，占19.87%。</w:t>
      </w:r>
      <w:r>
        <w:rPr>
          <w:rFonts w:hint="eastAsia" w:ascii="Times New Roman" w:hAnsi="Times New Roman" w:eastAsia="仿宋_GB2312"/>
          <w:sz w:val="32"/>
          <w:lang w:val="en-US" w:eastAsia="zh-CN"/>
        </w:rPr>
        <w:t>主要原因是受疫情影响，中心的部分工作开展不充分，事业收入、经营收入及其他收入均较上年有一定程度的减少。</w:t>
      </w:r>
    </w:p>
    <w:p>
      <w:pPr>
        <w:ind w:firstLine="640" w:firstLineChars="200"/>
        <w:rPr>
          <w:rFonts w:hint="eastAsia" w:ascii="Times New Roman" w:hAnsi="Times New Roman" w:eastAsia="仿宋_GB2312"/>
          <w:sz w:val="32"/>
          <w:lang w:val="en-US" w:eastAsia="zh-CN"/>
        </w:rPr>
      </w:pPr>
    </w:p>
    <w:p>
      <w:pPr>
        <w:keepNext w:val="0"/>
        <w:keepLines w:val="0"/>
        <w:widowControl/>
        <w:suppressLineNumbers w:val="0"/>
        <w:jc w:val="center"/>
      </w:pPr>
      <w:r>
        <w:rPr>
          <w:rFonts w:ascii="仿宋_GB2312" w:hAnsi="仿宋_GB2312" w:eastAsia="仿宋_GB2312" w:cs="仿宋_GB2312"/>
          <w:b/>
          <w:color w:val="000000"/>
          <w:kern w:val="0"/>
          <w:sz w:val="31"/>
          <w:szCs w:val="31"/>
          <w:lang w:val="en-US" w:eastAsia="zh-CN" w:bidi="ar"/>
        </w:rPr>
        <w:t xml:space="preserve">图 </w:t>
      </w:r>
      <w:r>
        <w:rPr>
          <w:rFonts w:hint="default" w:ascii="Times New Roman" w:hAnsi="Times New Roman" w:eastAsia="宋体" w:cs="Times New Roman"/>
          <w:b/>
          <w:color w:val="000000"/>
          <w:kern w:val="0"/>
          <w:sz w:val="31"/>
          <w:szCs w:val="31"/>
          <w:lang w:val="en-US" w:eastAsia="zh-CN" w:bidi="ar"/>
        </w:rPr>
        <w:t>1</w:t>
      </w:r>
      <w:r>
        <w:rPr>
          <w:rFonts w:ascii="仿宋_GB2312" w:hAnsi="仿宋_GB2312" w:eastAsia="仿宋_GB2312" w:cs="仿宋_GB2312"/>
          <w:b/>
          <w:color w:val="000000"/>
          <w:kern w:val="0"/>
          <w:sz w:val="31"/>
          <w:szCs w:val="31"/>
          <w:lang w:val="en-US" w:eastAsia="zh-CN" w:bidi="ar"/>
        </w:rPr>
        <w:t>：收、支决算总计变动情况</w:t>
      </w:r>
    </w:p>
    <w:p>
      <w:pPr>
        <w:keepNext w:val="0"/>
        <w:keepLines w:val="0"/>
        <w:widowControl/>
        <w:suppressLineNumbers w:val="0"/>
        <w:jc w:val="center"/>
      </w:pPr>
      <w:r>
        <w:rPr>
          <w:rFonts w:ascii="仿宋_GB2312" w:hAnsi="仿宋_GB2312" w:eastAsia="仿宋_GB2312" w:cs="仿宋_GB2312"/>
          <w:b/>
          <w:color w:val="000000"/>
          <w:kern w:val="0"/>
          <w:sz w:val="31"/>
          <w:szCs w:val="31"/>
          <w:lang w:val="en-US" w:eastAsia="zh-CN" w:bidi="ar"/>
        </w:rPr>
        <w:t>（单位：万元）</w:t>
      </w:r>
    </w:p>
    <w:p>
      <w:pPr>
        <w:ind w:firstLine="640" w:firstLineChars="200"/>
        <w:rPr>
          <w:rFonts w:hint="eastAsia" w:ascii="Times New Roman" w:hAnsi="Times New Roman" w:eastAsia="仿宋_GB2312"/>
          <w:sz w:val="32"/>
          <w:lang w:val="en-US" w:eastAsia="zh-CN"/>
        </w:rPr>
      </w:pPr>
    </w:p>
    <w:p>
      <w:pPr>
        <w:ind w:firstLine="420" w:firstLineChars="200"/>
        <w:rPr>
          <w:rFonts w:hint="eastAsia" w:ascii="Times New Roman" w:hAnsi="Times New Roman" w:eastAsia="仿宋_GB2312"/>
          <w:sz w:val="32"/>
          <w:lang w:val="en-US" w:eastAsia="zh-CN"/>
        </w:rPr>
      </w:pPr>
      <w:r>
        <w:drawing>
          <wp:inline distT="0" distB="0" distL="114300" distR="114300">
            <wp:extent cx="4591050" cy="2762250"/>
            <wp:effectExtent l="0" t="0" r="0" b="0"/>
            <wp:docPr id="1" name="图表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表 2"/>
                    <pic:cNvPicPr>
                      <a:picLocks noChangeAspect="1"/>
                    </pic:cNvPicPr>
                  </pic:nvPicPr>
                  <pic:blipFill>
                    <a:blip r:embed="rId8"/>
                    <a:stretch>
                      <a:fillRect/>
                    </a:stretch>
                  </pic:blipFill>
                  <pic:spPr>
                    <a:xfrm>
                      <a:off x="0" y="0"/>
                      <a:ext cx="4591050" cy="2762250"/>
                    </a:xfrm>
                    <a:prstGeom prst="rect">
                      <a:avLst/>
                    </a:prstGeom>
                    <a:noFill/>
                    <a:ln>
                      <a:noFill/>
                    </a:ln>
                  </pic:spPr>
                </pic:pic>
              </a:graphicData>
            </a:graphic>
          </wp:inline>
        </w:drawing>
      </w:r>
    </w:p>
    <w:p>
      <w:pPr>
        <w:pStyle w:val="3"/>
        <w:rPr>
          <w:rFonts w:hint="eastAsia" w:ascii="Times New Roman" w:hAnsi="Times New Roman"/>
          <w:lang w:val="zh-CN"/>
        </w:rPr>
      </w:pPr>
      <w:bookmarkStart w:id="16" w:name="_Toc6684"/>
      <w:bookmarkStart w:id="17" w:name="_Toc19905"/>
      <w:bookmarkStart w:id="18" w:name="_Toc31710"/>
      <w:bookmarkStart w:id="19" w:name="_Toc7217"/>
    </w:p>
    <w:p>
      <w:pPr>
        <w:pStyle w:val="3"/>
        <w:rPr>
          <w:rFonts w:hint="eastAsia" w:ascii="Times New Roman" w:hAnsi="Times New Roman"/>
          <w:lang w:val="zh-CN"/>
        </w:rPr>
      </w:pPr>
    </w:p>
    <w:p>
      <w:pPr>
        <w:rPr>
          <w:rFonts w:hint="eastAsia"/>
          <w:lang w:val="zh-CN"/>
        </w:rPr>
      </w:pPr>
    </w:p>
    <w:p>
      <w:pPr>
        <w:pStyle w:val="3"/>
        <w:rPr>
          <w:rFonts w:hint="eastAsia" w:ascii="Times New Roman" w:hAnsi="Times New Roman"/>
          <w:lang w:val="zh-CN"/>
        </w:rPr>
      </w:pPr>
    </w:p>
    <w:p>
      <w:pPr>
        <w:pStyle w:val="3"/>
        <w:rPr>
          <w:rFonts w:hint="eastAsia" w:ascii="Times New Roman" w:hAnsi="Times New Roman"/>
          <w:lang w:val="zh-CN"/>
        </w:rPr>
      </w:pPr>
    </w:p>
    <w:p>
      <w:pPr>
        <w:pStyle w:val="3"/>
        <w:rPr>
          <w:rFonts w:hint="eastAsia" w:ascii="Times New Roman" w:hAnsi="Times New Roman"/>
          <w:lang w:val="zh-CN"/>
        </w:rPr>
      </w:pPr>
    </w:p>
    <w:p>
      <w:pPr>
        <w:pStyle w:val="3"/>
        <w:rPr>
          <w:rFonts w:hint="eastAsia" w:ascii="Times New Roman" w:hAnsi="Times New Roman"/>
          <w:lang w:val="en-US" w:eastAsia="zh-CN"/>
        </w:rPr>
      </w:pPr>
      <w:r>
        <w:rPr>
          <w:rFonts w:hint="eastAsia" w:ascii="Times New Roman" w:hAnsi="Times New Roman"/>
          <w:lang w:val="zh-CN"/>
        </w:rPr>
        <w:t>二、</w:t>
      </w:r>
      <w:r>
        <w:rPr>
          <w:rFonts w:hint="eastAsia" w:ascii="Times New Roman" w:hAnsi="Times New Roman"/>
          <w:lang w:val="en-US" w:eastAsia="zh-CN"/>
        </w:rPr>
        <w:t>收入决算情况说明</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Times New Roman" w:hAnsi="Times New Roman" w:eastAsia="仿宋_GB2312"/>
          <w:sz w:val="32"/>
          <w:highlight w:val="none"/>
        </w:rPr>
      </w:pPr>
      <w:r>
        <w:rPr>
          <w:rFonts w:hint="eastAsia" w:ascii="Times New Roman" w:hAnsi="Times New Roman" w:eastAsia="仿宋_GB2312"/>
          <w:sz w:val="32"/>
          <w:lang w:val="zh-CN" w:eastAsia="zh-CN"/>
        </w:rPr>
        <w:t>本年收入合计</w:t>
      </w:r>
      <w:r>
        <w:rPr>
          <w:rFonts w:hint="eastAsia" w:ascii="Times New Roman" w:hAnsi="Times New Roman" w:eastAsia="仿宋_GB2312"/>
          <w:b w:val="0"/>
          <w:i w:val="0"/>
          <w:snapToGrid/>
          <w:color w:val="000000"/>
          <w:sz w:val="32"/>
          <w:u w:val="none"/>
          <w:lang w:val="en-US" w:eastAsia="zh-CN"/>
        </w:rPr>
        <w:t>4742.24</w:t>
      </w:r>
      <w:r>
        <w:rPr>
          <w:rFonts w:hint="eastAsia" w:ascii="Times New Roman" w:hAnsi="Times New Roman" w:eastAsia="仿宋_GB2312"/>
          <w:b w:val="0"/>
          <w:i w:val="0"/>
          <w:snapToGrid/>
          <w:color w:val="000000"/>
          <w:sz w:val="32"/>
          <w:u w:val="none"/>
          <w:lang w:eastAsia="zh-CN"/>
        </w:rPr>
        <w:t>万元，其中：</w:t>
      </w:r>
      <w:r>
        <w:rPr>
          <w:rFonts w:ascii="Times New Roman" w:hAnsi="Times New Roman" w:eastAsia="仿宋_GB2312"/>
          <w:sz w:val="32"/>
          <w:highlight w:val="none"/>
        </w:rPr>
        <w:t>财政拨款收入</w:t>
      </w:r>
      <w:r>
        <w:rPr>
          <w:rFonts w:hint="eastAsia" w:ascii="Times New Roman" w:hAnsi="Times New Roman" w:eastAsia="仿宋_GB2312"/>
          <w:b w:val="0"/>
          <w:i w:val="0"/>
          <w:snapToGrid/>
          <w:color w:val="000000"/>
          <w:sz w:val="32"/>
          <w:u w:val="none"/>
          <w:lang w:val="en-US" w:eastAsia="zh-CN"/>
        </w:rPr>
        <w:t>0</w:t>
      </w:r>
      <w:r>
        <w:rPr>
          <w:rFonts w:hint="eastAsia" w:ascii="Times New Roman" w:hAnsi="Times New Roman" w:eastAsia="仿宋_GB2312"/>
          <w:b w:val="0"/>
          <w:i w:val="0"/>
          <w:snapToGrid/>
          <w:color w:val="000000"/>
          <w:sz w:val="32"/>
          <w:u w:val="none"/>
          <w:lang w:eastAsia="zh-CN"/>
        </w:rPr>
        <w:t>万元</w:t>
      </w:r>
      <w:r>
        <w:rPr>
          <w:rFonts w:hint="eastAsia" w:ascii="Times New Roman" w:hAnsi="Times New Roman" w:eastAsia="仿宋_GB2312"/>
          <w:sz w:val="32"/>
          <w:highlight w:val="none"/>
          <w:lang w:eastAsia="zh-CN"/>
        </w:rPr>
        <w:t>；</w:t>
      </w:r>
      <w:r>
        <w:rPr>
          <w:rFonts w:hint="eastAsia" w:ascii="Times New Roman" w:hAnsi="Times New Roman" w:eastAsia="仿宋_GB2312"/>
          <w:sz w:val="32"/>
          <w:highlight w:val="none"/>
        </w:rPr>
        <w:t>事业收入</w:t>
      </w:r>
      <w:r>
        <w:rPr>
          <w:rFonts w:hint="eastAsia" w:ascii="Times New Roman" w:hAnsi="Times New Roman" w:eastAsia="仿宋_GB2312"/>
          <w:b w:val="0"/>
          <w:i w:val="0"/>
          <w:snapToGrid/>
          <w:color w:val="000000"/>
          <w:sz w:val="32"/>
          <w:u w:val="none"/>
          <w:lang w:val="en-US" w:eastAsia="zh-CN"/>
        </w:rPr>
        <w:t>3478.54</w:t>
      </w:r>
      <w:r>
        <w:rPr>
          <w:rFonts w:hint="eastAsia" w:ascii="Times New Roman" w:hAnsi="Times New Roman" w:eastAsia="仿宋_GB2312"/>
          <w:b w:val="0"/>
          <w:i w:val="0"/>
          <w:snapToGrid/>
          <w:color w:val="000000"/>
          <w:sz w:val="32"/>
          <w:u w:val="none"/>
          <w:lang w:eastAsia="zh-CN"/>
        </w:rPr>
        <w:t>万元</w:t>
      </w:r>
      <w:r>
        <w:rPr>
          <w:rFonts w:hint="eastAsia" w:ascii="Times New Roman" w:hAnsi="Times New Roman" w:eastAsia="仿宋_GB2312"/>
          <w:sz w:val="32"/>
          <w:highlight w:val="none"/>
        </w:rPr>
        <w:t>，占</w:t>
      </w:r>
      <w:r>
        <w:rPr>
          <w:rFonts w:hint="eastAsia" w:ascii="Times New Roman" w:hAnsi="Times New Roman" w:eastAsia="仿宋_GB2312"/>
          <w:sz w:val="32"/>
          <w:highlight w:val="none"/>
          <w:lang w:val="en-US" w:eastAsia="zh-CN"/>
        </w:rPr>
        <w:t>73.35</w:t>
      </w:r>
      <w:r>
        <w:rPr>
          <w:rFonts w:hint="eastAsia" w:ascii="Times New Roman" w:hAnsi="Times New Roman" w:eastAsia="仿宋_GB2312"/>
          <w:sz w:val="32"/>
          <w:highlight w:val="none"/>
        </w:rPr>
        <w:t>%</w:t>
      </w:r>
      <w:r>
        <w:rPr>
          <w:rFonts w:hint="eastAsia" w:ascii="Times New Roman" w:hAnsi="Times New Roman" w:eastAsia="仿宋_GB2312"/>
          <w:sz w:val="32"/>
          <w:highlight w:val="none"/>
          <w:lang w:eastAsia="zh-CN"/>
        </w:rPr>
        <w:t>；经营收入</w:t>
      </w:r>
      <w:r>
        <w:rPr>
          <w:rFonts w:hint="eastAsia" w:ascii="Times New Roman" w:hAnsi="Times New Roman" w:eastAsia="仿宋_GB2312"/>
          <w:sz w:val="32"/>
          <w:highlight w:val="none"/>
          <w:lang w:val="en-US" w:eastAsia="zh-CN"/>
        </w:rPr>
        <w:t>1240.05万元，占26.15%；</w:t>
      </w:r>
      <w:r>
        <w:rPr>
          <w:rFonts w:hint="eastAsia" w:ascii="Times New Roman" w:hAnsi="Times New Roman" w:eastAsia="仿宋_GB2312"/>
          <w:sz w:val="32"/>
          <w:highlight w:val="none"/>
        </w:rPr>
        <w:t>其他收入</w:t>
      </w:r>
      <w:r>
        <w:rPr>
          <w:rFonts w:hint="eastAsia" w:ascii="Times New Roman" w:hAnsi="Times New Roman" w:eastAsia="仿宋_GB2312"/>
          <w:b w:val="0"/>
          <w:i w:val="0"/>
          <w:snapToGrid/>
          <w:color w:val="000000"/>
          <w:sz w:val="32"/>
          <w:u w:val="none"/>
          <w:lang w:val="en-US" w:eastAsia="zh-CN"/>
        </w:rPr>
        <w:t>23.65</w:t>
      </w:r>
      <w:r>
        <w:rPr>
          <w:rFonts w:hint="eastAsia" w:ascii="Times New Roman" w:hAnsi="Times New Roman" w:eastAsia="仿宋_GB2312"/>
          <w:sz w:val="32"/>
          <w:highlight w:val="none"/>
        </w:rPr>
        <w:t>万元</w:t>
      </w:r>
      <w:r>
        <w:rPr>
          <w:rFonts w:hint="eastAsia" w:ascii="Times New Roman" w:hAnsi="Times New Roman" w:eastAsia="仿宋_GB2312"/>
          <w:sz w:val="32"/>
          <w:highlight w:val="none"/>
          <w:lang w:eastAsia="zh-CN"/>
        </w:rPr>
        <w:t>，</w:t>
      </w:r>
      <w:r>
        <w:rPr>
          <w:rFonts w:hint="eastAsia" w:ascii="Times New Roman" w:hAnsi="Times New Roman" w:eastAsia="仿宋_GB2312"/>
          <w:sz w:val="32"/>
          <w:highlight w:val="none"/>
        </w:rPr>
        <w:t>占</w:t>
      </w:r>
      <w:r>
        <w:rPr>
          <w:rFonts w:hint="eastAsia" w:ascii="Times New Roman" w:hAnsi="Times New Roman" w:eastAsia="仿宋_GB2312"/>
          <w:sz w:val="32"/>
          <w:highlight w:val="none"/>
          <w:lang w:val="en-US" w:eastAsia="zh-CN"/>
        </w:rPr>
        <w:t>0.5</w:t>
      </w:r>
      <w:r>
        <w:rPr>
          <w:rFonts w:hint="eastAsia" w:ascii="Times New Roman" w:hAnsi="Times New Roman"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Times New Roman" w:hAnsi="Times New Roman" w:eastAsia="仿宋_GB2312"/>
          <w:sz w:val="32"/>
          <w:highlight w:val="none"/>
        </w:rPr>
      </w:pPr>
    </w:p>
    <w:p>
      <w:pPr>
        <w:keepNext w:val="0"/>
        <w:keepLines w:val="0"/>
        <w:widowControl/>
        <w:suppressLineNumbers w:val="0"/>
        <w:jc w:val="center"/>
        <w:rPr>
          <w:rFonts w:hint="eastAsia" w:ascii="仿宋_GB2312" w:hAnsi="仿宋_GB2312" w:eastAsia="仿宋_GB2312" w:cs="仿宋_GB2312"/>
          <w:b/>
          <w:color w:val="000000"/>
          <w:kern w:val="0"/>
          <w:sz w:val="31"/>
          <w:szCs w:val="31"/>
          <w:lang w:val="en-US" w:eastAsia="zh-CN" w:bidi="ar"/>
        </w:rPr>
      </w:pPr>
      <w:r>
        <w:rPr>
          <w:rFonts w:ascii="仿宋_GB2312" w:hAnsi="仿宋_GB2312" w:eastAsia="仿宋_GB2312" w:cs="仿宋_GB2312"/>
          <w:b/>
          <w:color w:val="000000"/>
          <w:kern w:val="0"/>
          <w:sz w:val="31"/>
          <w:szCs w:val="31"/>
          <w:lang w:val="en-US" w:eastAsia="zh-CN" w:bidi="ar"/>
        </w:rPr>
        <w:t xml:space="preserve">图 </w:t>
      </w:r>
      <w:r>
        <w:rPr>
          <w:rFonts w:hint="eastAsia" w:ascii="Times New Roman" w:hAnsi="Times New Roman" w:cs="Times New Roman"/>
          <w:b/>
          <w:color w:val="000000"/>
          <w:kern w:val="0"/>
          <w:sz w:val="31"/>
          <w:szCs w:val="31"/>
          <w:lang w:val="en-US" w:eastAsia="zh-CN" w:bidi="ar"/>
        </w:rPr>
        <w:t>2</w:t>
      </w:r>
      <w:r>
        <w:rPr>
          <w:rFonts w:ascii="仿宋_GB2312" w:hAnsi="仿宋_GB2312" w:eastAsia="仿宋_GB2312" w:cs="仿宋_GB2312"/>
          <w:b/>
          <w:color w:val="000000"/>
          <w:kern w:val="0"/>
          <w:sz w:val="31"/>
          <w:szCs w:val="31"/>
          <w:lang w:val="en-US" w:eastAsia="zh-CN" w:bidi="ar"/>
        </w:rPr>
        <w:t>：</w:t>
      </w:r>
      <w:r>
        <w:rPr>
          <w:rFonts w:hint="eastAsia" w:ascii="仿宋_GB2312" w:hAnsi="仿宋_GB2312" w:eastAsia="仿宋_GB2312" w:cs="仿宋_GB2312"/>
          <w:b/>
          <w:color w:val="000000"/>
          <w:kern w:val="0"/>
          <w:sz w:val="31"/>
          <w:szCs w:val="31"/>
          <w:lang w:val="en-US" w:eastAsia="zh-CN" w:bidi="ar"/>
        </w:rPr>
        <w:t>收入结构图</w:t>
      </w:r>
    </w:p>
    <w:p>
      <w:pPr>
        <w:keepNext w:val="0"/>
        <w:keepLines w:val="0"/>
        <w:widowControl/>
        <w:suppressLineNumbers w:val="0"/>
        <w:jc w:val="center"/>
      </w:pPr>
      <w:r>
        <w:rPr>
          <w:rFonts w:ascii="仿宋_GB2312" w:hAnsi="仿宋_GB2312" w:eastAsia="仿宋_GB2312" w:cs="仿宋_GB2312"/>
          <w:b/>
          <w:color w:val="000000"/>
          <w:kern w:val="0"/>
          <w:sz w:val="31"/>
          <w:szCs w:val="31"/>
          <w:lang w:val="en-US" w:eastAsia="zh-CN" w:bidi="ar"/>
        </w:rPr>
        <w:t>（单位：万元）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Times New Roman" w:hAnsi="Times New Roman" w:eastAsia="仿宋_GB2312"/>
          <w:sz w:val="32"/>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Times New Roman" w:hAnsi="Times New Roman" w:eastAsia="仿宋_GB2312"/>
          <w:sz w:val="32"/>
          <w:highlight w:val="none"/>
        </w:rPr>
      </w:pPr>
      <w:r>
        <w:drawing>
          <wp:inline distT="0" distB="0" distL="114300" distR="114300">
            <wp:extent cx="4591050" cy="2762250"/>
            <wp:effectExtent l="0" t="0" r="0" b="0"/>
            <wp:docPr id="2" name="图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表 3"/>
                    <pic:cNvPicPr>
                      <a:picLocks noChangeAspect="1"/>
                    </pic:cNvPicPr>
                  </pic:nvPicPr>
                  <pic:blipFill>
                    <a:blip r:embed="rId9"/>
                    <a:stretch>
                      <a:fillRect/>
                    </a:stretch>
                  </pic:blipFill>
                  <pic:spPr>
                    <a:xfrm>
                      <a:off x="0" y="0"/>
                      <a:ext cx="4591050" cy="2762250"/>
                    </a:xfrm>
                    <a:prstGeom prst="rect">
                      <a:avLst/>
                    </a:prstGeom>
                    <a:noFill/>
                    <a:ln>
                      <a:noFill/>
                    </a:ln>
                  </pic:spPr>
                </pic:pic>
              </a:graphicData>
            </a:graphic>
          </wp:inline>
        </w:drawing>
      </w:r>
    </w:p>
    <w:p>
      <w:pPr>
        <w:pStyle w:val="3"/>
        <w:ind w:left="0" w:leftChars="0" w:firstLine="640" w:firstLineChars="200"/>
        <w:rPr>
          <w:rFonts w:hint="eastAsia" w:ascii="Times New Roman" w:hAnsi="Times New Roman"/>
          <w:lang w:val="zh-CN"/>
        </w:rPr>
      </w:pPr>
      <w:bookmarkStart w:id="20" w:name="_Toc6738"/>
      <w:bookmarkStart w:id="21" w:name="_Toc8247"/>
      <w:bookmarkStart w:id="22" w:name="_Toc1609"/>
      <w:bookmarkStart w:id="23" w:name="_Toc25241"/>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rPr>
          <w:rFonts w:hint="eastAsia" w:ascii="Times New Roman" w:hAnsi="Times New Roman"/>
          <w:lang w:val="zh-CN"/>
        </w:rPr>
      </w:pPr>
    </w:p>
    <w:p>
      <w:pPr>
        <w:pStyle w:val="3"/>
        <w:ind w:left="0" w:leftChars="0" w:firstLine="640" w:firstLineChars="200"/>
        <w:rPr>
          <w:rFonts w:hint="eastAsia" w:ascii="Times New Roman" w:hAnsi="Times New Roman"/>
          <w:lang w:val="zh-CN"/>
        </w:rPr>
      </w:pPr>
    </w:p>
    <w:p>
      <w:pPr>
        <w:pStyle w:val="3"/>
        <w:ind w:left="0" w:leftChars="0" w:firstLine="640" w:firstLineChars="200"/>
        <w:rPr>
          <w:rFonts w:hint="eastAsia" w:ascii="Times New Roman" w:hAnsi="Times New Roman"/>
          <w:lang w:val="en-US" w:eastAsia="zh-CN"/>
        </w:rPr>
      </w:pPr>
      <w:r>
        <w:rPr>
          <w:rFonts w:hint="eastAsia" w:ascii="Times New Roman" w:hAnsi="Times New Roman"/>
          <w:lang w:val="zh-CN"/>
        </w:rPr>
        <w:t>三、</w:t>
      </w:r>
      <w:r>
        <w:rPr>
          <w:rFonts w:hint="eastAsia" w:ascii="Times New Roman" w:hAnsi="Times New Roman"/>
          <w:lang w:val="en-US" w:eastAsia="zh-CN"/>
        </w:rPr>
        <w:t>支出决算情况说明</w:t>
      </w:r>
      <w:bookmarkEnd w:id="20"/>
      <w:bookmarkEnd w:id="21"/>
      <w:bookmarkEnd w:id="22"/>
      <w:bookmarkEnd w:id="23"/>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年全年总支出</w:t>
      </w:r>
      <w:r>
        <w:rPr>
          <w:rFonts w:hint="eastAsia" w:ascii="仿宋_GB2312" w:hAnsi="宋体" w:eastAsia="仿宋_GB2312"/>
          <w:sz w:val="32"/>
          <w:szCs w:val="32"/>
          <w:lang w:val="en-US" w:eastAsia="zh-CN"/>
        </w:rPr>
        <w:t>5296.05</w:t>
      </w:r>
      <w:r>
        <w:rPr>
          <w:rFonts w:hint="eastAsia" w:ascii="仿宋_GB2312" w:hAnsi="宋体" w:eastAsia="仿宋_GB2312"/>
          <w:sz w:val="32"/>
          <w:szCs w:val="32"/>
        </w:rPr>
        <w:t>万元，按照支出性质，</w:t>
      </w:r>
      <w:r>
        <w:rPr>
          <w:rFonts w:hint="eastAsia" w:ascii="仿宋_GB2312" w:hAnsi="宋体" w:eastAsia="仿宋_GB2312"/>
          <w:sz w:val="32"/>
          <w:szCs w:val="32"/>
          <w:lang w:eastAsia="zh-CN"/>
        </w:rPr>
        <w:t>基本</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5186.78</w:t>
      </w:r>
      <w:r>
        <w:rPr>
          <w:rFonts w:hint="eastAsia" w:ascii="仿宋_GB2312" w:hAnsi="宋体" w:eastAsia="仿宋_GB2312"/>
          <w:sz w:val="32"/>
          <w:szCs w:val="32"/>
        </w:rPr>
        <w:t>万元，占总支出的</w:t>
      </w:r>
      <w:r>
        <w:rPr>
          <w:rFonts w:hint="eastAsia" w:ascii="仿宋_GB2312" w:hAnsi="宋体" w:eastAsia="仿宋_GB2312"/>
          <w:sz w:val="32"/>
          <w:szCs w:val="32"/>
          <w:lang w:val="en-US" w:eastAsia="zh-CN"/>
        </w:rPr>
        <w:t>97.94</w:t>
      </w:r>
      <w:r>
        <w:rPr>
          <w:rFonts w:hint="eastAsia" w:ascii="仿宋_GB2312" w:hAnsi="宋体" w:eastAsia="仿宋_GB2312"/>
          <w:sz w:val="32"/>
          <w:szCs w:val="32"/>
        </w:rPr>
        <w:t>%，经营支出</w:t>
      </w:r>
      <w:r>
        <w:rPr>
          <w:rFonts w:hint="eastAsia" w:ascii="仿宋_GB2312" w:hAnsi="宋体" w:eastAsia="仿宋_GB2312"/>
          <w:sz w:val="32"/>
          <w:szCs w:val="32"/>
          <w:lang w:val="en-US" w:eastAsia="zh-CN"/>
        </w:rPr>
        <w:t>109.27</w:t>
      </w:r>
      <w:r>
        <w:rPr>
          <w:rFonts w:hint="eastAsia" w:ascii="仿宋_GB2312" w:hAnsi="宋体" w:eastAsia="仿宋_GB2312"/>
          <w:sz w:val="32"/>
          <w:szCs w:val="32"/>
        </w:rPr>
        <w:t>万元，占总支出的</w:t>
      </w:r>
      <w:r>
        <w:rPr>
          <w:rFonts w:hint="eastAsia" w:ascii="仿宋_GB2312" w:hAnsi="宋体" w:eastAsia="仿宋_GB2312"/>
          <w:sz w:val="32"/>
          <w:szCs w:val="32"/>
          <w:lang w:val="en-US" w:eastAsia="zh-CN"/>
        </w:rPr>
        <w:t>2.06</w:t>
      </w:r>
      <w:r>
        <w:rPr>
          <w:rFonts w:hint="eastAsia" w:ascii="仿宋_GB2312" w:hAnsi="宋体" w:eastAsia="仿宋_GB2312"/>
          <w:sz w:val="32"/>
          <w:szCs w:val="32"/>
        </w:rPr>
        <w:t>%。</w:t>
      </w:r>
    </w:p>
    <w:p>
      <w:pPr>
        <w:snapToGrid w:val="0"/>
        <w:spacing w:line="360" w:lineRule="auto"/>
        <w:ind w:firstLine="640" w:firstLineChars="200"/>
        <w:rPr>
          <w:rFonts w:hint="eastAsia" w:ascii="仿宋_GB2312" w:hAnsi="宋体" w:eastAsia="仿宋_GB2312"/>
          <w:sz w:val="32"/>
          <w:szCs w:val="32"/>
        </w:rPr>
      </w:pPr>
    </w:p>
    <w:p>
      <w:pPr>
        <w:keepNext w:val="0"/>
        <w:keepLines w:val="0"/>
        <w:widowControl/>
        <w:suppressLineNumbers w:val="0"/>
        <w:jc w:val="center"/>
        <w:rPr>
          <w:rFonts w:hint="eastAsia" w:ascii="仿宋_GB2312" w:hAnsi="仿宋_GB2312" w:eastAsia="仿宋_GB2312" w:cs="仿宋_GB2312"/>
          <w:b/>
          <w:color w:val="000000"/>
          <w:kern w:val="0"/>
          <w:sz w:val="31"/>
          <w:szCs w:val="31"/>
          <w:lang w:val="en-US" w:eastAsia="zh-CN" w:bidi="ar"/>
        </w:rPr>
      </w:pPr>
      <w:r>
        <w:rPr>
          <w:rFonts w:ascii="仿宋_GB2312" w:hAnsi="仿宋_GB2312" w:eastAsia="仿宋_GB2312" w:cs="仿宋_GB2312"/>
          <w:b/>
          <w:color w:val="000000"/>
          <w:kern w:val="0"/>
          <w:sz w:val="31"/>
          <w:szCs w:val="31"/>
          <w:lang w:val="en-US" w:eastAsia="zh-CN" w:bidi="ar"/>
        </w:rPr>
        <w:t xml:space="preserve">图 </w:t>
      </w:r>
      <w:r>
        <w:rPr>
          <w:rFonts w:hint="eastAsia" w:ascii="仿宋_GB2312" w:hAnsi="仿宋_GB2312" w:eastAsia="仿宋_GB2312" w:cs="仿宋_GB2312"/>
          <w:b/>
          <w:color w:val="000000"/>
          <w:kern w:val="0"/>
          <w:sz w:val="31"/>
          <w:szCs w:val="31"/>
          <w:lang w:val="en-US" w:eastAsia="zh-CN" w:bidi="ar"/>
        </w:rPr>
        <w:t>3</w:t>
      </w:r>
      <w:r>
        <w:rPr>
          <w:rFonts w:ascii="仿宋_GB2312" w:hAnsi="仿宋_GB2312" w:eastAsia="仿宋_GB2312" w:cs="仿宋_GB2312"/>
          <w:b/>
          <w:color w:val="000000"/>
          <w:kern w:val="0"/>
          <w:sz w:val="31"/>
          <w:szCs w:val="31"/>
          <w:lang w:val="en-US" w:eastAsia="zh-CN" w:bidi="ar"/>
        </w:rPr>
        <w:t>：</w:t>
      </w:r>
      <w:r>
        <w:rPr>
          <w:rFonts w:hint="eastAsia" w:ascii="仿宋_GB2312" w:hAnsi="仿宋_GB2312" w:eastAsia="仿宋_GB2312" w:cs="仿宋_GB2312"/>
          <w:b/>
          <w:color w:val="000000"/>
          <w:kern w:val="0"/>
          <w:sz w:val="31"/>
          <w:szCs w:val="31"/>
          <w:lang w:val="en-US" w:eastAsia="zh-CN" w:bidi="ar"/>
        </w:rPr>
        <w:t>支出结构图</w:t>
      </w:r>
    </w:p>
    <w:p>
      <w:pPr>
        <w:keepNext w:val="0"/>
        <w:keepLines w:val="0"/>
        <w:widowControl/>
        <w:suppressLineNumbers w:val="0"/>
        <w:jc w:val="center"/>
      </w:pPr>
      <w:r>
        <w:rPr>
          <w:rFonts w:ascii="仿宋_GB2312" w:hAnsi="仿宋_GB2312" w:eastAsia="仿宋_GB2312" w:cs="仿宋_GB2312"/>
          <w:b/>
          <w:color w:val="000000"/>
          <w:kern w:val="0"/>
          <w:sz w:val="31"/>
          <w:szCs w:val="31"/>
          <w:lang w:val="en-US" w:eastAsia="zh-CN" w:bidi="ar"/>
        </w:rPr>
        <w:t>（单位：万元）</w:t>
      </w:r>
    </w:p>
    <w:p>
      <w:pPr>
        <w:pStyle w:val="4"/>
        <w:numPr>
          <w:ilvl w:val="0"/>
          <w:numId w:val="0"/>
        </w:numPr>
        <w:rPr>
          <w:rFonts w:hint="eastAsia"/>
        </w:rPr>
      </w:pPr>
      <w:r>
        <w:rPr>
          <w:rFonts w:hint="eastAsia"/>
          <w:lang w:val="en-US" w:eastAsia="zh-CN"/>
        </w:rPr>
        <w:t xml:space="preserve">    </w:t>
      </w:r>
      <w:r>
        <w:drawing>
          <wp:inline distT="0" distB="0" distL="114300" distR="114300">
            <wp:extent cx="4591050" cy="2651125"/>
            <wp:effectExtent l="0" t="0" r="0" b="15875"/>
            <wp:docPr id="3" name="图片 10"/>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10"/>
                    <a:stretch>
                      <a:fillRect/>
                    </a:stretch>
                  </pic:blipFill>
                  <pic:spPr>
                    <a:xfrm>
                      <a:off x="0" y="0"/>
                      <a:ext cx="4591050" cy="2651125"/>
                    </a:xfrm>
                    <a:prstGeom prst="rect">
                      <a:avLst/>
                    </a:prstGeom>
                    <a:noFill/>
                    <a:ln>
                      <a:noFill/>
                    </a:ln>
                  </pic:spPr>
                </pic:pic>
              </a:graphicData>
            </a:graphic>
          </wp:inline>
        </w:drawing>
      </w:r>
    </w:p>
    <w:p>
      <w:pPr>
        <w:snapToGrid w:val="0"/>
        <w:spacing w:line="360" w:lineRule="auto"/>
        <w:ind w:firstLine="640" w:firstLineChars="200"/>
        <w:rPr>
          <w:rFonts w:hint="eastAsia" w:ascii="仿宋_GB2312" w:hAnsi="宋体" w:eastAsia="仿宋_GB2312"/>
          <w:sz w:val="32"/>
          <w:szCs w:val="32"/>
        </w:rPr>
      </w:pPr>
    </w:p>
    <w:p>
      <w:pPr>
        <w:snapToGrid w:val="0"/>
        <w:spacing w:line="360" w:lineRule="auto"/>
        <w:ind w:firstLine="640" w:firstLineChars="200"/>
        <w:rPr>
          <w:rFonts w:hint="eastAsia" w:ascii="仿宋_GB2312" w:hAnsi="宋体" w:eastAsia="仿宋_GB2312"/>
          <w:sz w:val="32"/>
          <w:szCs w:val="32"/>
        </w:rPr>
      </w:pPr>
    </w:p>
    <w:p>
      <w:pPr>
        <w:snapToGrid w:val="0"/>
        <w:spacing w:line="360" w:lineRule="auto"/>
        <w:ind w:firstLine="640" w:firstLineChars="200"/>
        <w:rPr>
          <w:rFonts w:hint="eastAsia" w:ascii="仿宋_GB2312" w:hAnsi="宋体" w:eastAsia="仿宋_GB2312"/>
          <w:sz w:val="32"/>
          <w:szCs w:val="32"/>
        </w:rPr>
      </w:pPr>
    </w:p>
    <w:p>
      <w:pPr>
        <w:snapToGrid w:val="0"/>
        <w:spacing w:line="360" w:lineRule="auto"/>
        <w:ind w:firstLine="420" w:firstLineChars="200"/>
      </w:pPr>
    </w:p>
    <w:p>
      <w:pPr>
        <w:ind w:firstLine="640" w:firstLineChars="200"/>
        <w:rPr>
          <w:rFonts w:hint="eastAsia" w:ascii="仿宋_GB2312" w:hAnsi="宋体" w:eastAsia="仿宋_GB2312"/>
          <w:sz w:val="32"/>
          <w:szCs w:val="32"/>
        </w:rPr>
      </w:pP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四</w:t>
      </w:r>
      <w:r>
        <w:rPr>
          <w:rFonts w:ascii="黑体" w:hAnsi="宋体" w:eastAsia="黑体" w:cs="黑体"/>
          <w:color w:val="000000"/>
          <w:kern w:val="0"/>
          <w:sz w:val="31"/>
          <w:szCs w:val="31"/>
          <w:lang w:val="en-US" w:eastAsia="zh-CN" w:bidi="ar"/>
        </w:rPr>
        <w:t xml:space="preserve">、其他重要事项的情况说明 </w:t>
      </w:r>
    </w:p>
    <w:p>
      <w:pPr>
        <w:keepNext w:val="0"/>
        <w:keepLines w:val="0"/>
        <w:widowControl/>
        <w:suppressLineNumbers w:val="0"/>
        <w:ind w:firstLine="622" w:firstLineChars="200"/>
        <w:jc w:val="left"/>
        <w:rPr>
          <w:rFonts w:ascii="仿宋_GB2312" w:hAnsi="仿宋_GB2312" w:eastAsia="仿宋_GB2312" w:cs="仿宋_GB2312"/>
          <w:b/>
          <w:color w:val="000000"/>
          <w:kern w:val="0"/>
          <w:sz w:val="31"/>
          <w:szCs w:val="31"/>
          <w:lang w:val="en-US" w:eastAsia="zh-CN" w:bidi="ar"/>
        </w:rPr>
      </w:pPr>
      <w:r>
        <w:rPr>
          <w:rFonts w:ascii="仿宋_GB2312" w:hAnsi="仿宋_GB2312" w:eastAsia="仿宋_GB2312" w:cs="仿宋_GB2312"/>
          <w:b/>
          <w:color w:val="000000"/>
          <w:kern w:val="0"/>
          <w:sz w:val="31"/>
          <w:szCs w:val="31"/>
          <w:lang w:val="en-US" w:eastAsia="zh-CN" w:bidi="ar"/>
        </w:rPr>
        <w:t xml:space="preserve">（一）政府采购支出情况。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 xml:space="preserve">2020 </w:t>
      </w:r>
      <w:r>
        <w:rPr>
          <w:rFonts w:ascii="仿宋_GB2312" w:hAnsi="仿宋_GB2312" w:eastAsia="仿宋_GB2312" w:cs="仿宋_GB2312"/>
          <w:color w:val="000000"/>
          <w:kern w:val="0"/>
          <w:sz w:val="31"/>
          <w:szCs w:val="31"/>
          <w:lang w:val="en-US" w:eastAsia="zh-CN" w:bidi="ar"/>
        </w:rPr>
        <w:t>年度，政府采购支出总额</w:t>
      </w:r>
      <w:r>
        <w:rPr>
          <w:rFonts w:hint="eastAsia" w:ascii="仿宋_GB2312" w:hAnsi="仿宋_GB2312" w:eastAsia="仿宋_GB2312" w:cs="仿宋_GB2312"/>
          <w:color w:val="000000"/>
          <w:kern w:val="0"/>
          <w:sz w:val="31"/>
          <w:szCs w:val="31"/>
          <w:lang w:val="en-US" w:eastAsia="zh-CN" w:bidi="ar"/>
        </w:rPr>
        <w:t>862.55</w:t>
      </w:r>
      <w:r>
        <w:rPr>
          <w:rFonts w:ascii="仿宋_GB2312" w:hAnsi="仿宋_GB2312" w:eastAsia="仿宋_GB2312" w:cs="仿宋_GB2312"/>
          <w:color w:val="000000"/>
          <w:kern w:val="0"/>
          <w:sz w:val="31"/>
          <w:szCs w:val="31"/>
          <w:lang w:val="en-US" w:eastAsia="zh-CN" w:bidi="ar"/>
        </w:rPr>
        <w:t xml:space="preserve">万元，其中：政府采购货物支出 </w:t>
      </w:r>
      <w:r>
        <w:rPr>
          <w:rFonts w:hint="eastAsia" w:ascii="Times New Roman" w:hAnsi="Times New Roman" w:cs="Times New Roman"/>
          <w:color w:val="000000"/>
          <w:kern w:val="0"/>
          <w:sz w:val="31"/>
          <w:szCs w:val="31"/>
          <w:lang w:val="en-US" w:eastAsia="zh-CN" w:bidi="ar"/>
        </w:rPr>
        <w:t>192.55</w:t>
      </w:r>
      <w:r>
        <w:rPr>
          <w:rFonts w:ascii="仿宋_GB2312" w:hAnsi="仿宋_GB2312" w:eastAsia="仿宋_GB2312" w:cs="仿宋_GB2312"/>
          <w:color w:val="000000"/>
          <w:kern w:val="0"/>
          <w:sz w:val="31"/>
          <w:szCs w:val="31"/>
          <w:lang w:val="en-US" w:eastAsia="zh-CN" w:bidi="ar"/>
        </w:rPr>
        <w:t xml:space="preserve">万元、政府采购服务支出 </w:t>
      </w:r>
      <w:r>
        <w:rPr>
          <w:rFonts w:hint="eastAsia" w:ascii="Times New Roman" w:hAnsi="Times New Roman" w:cs="Times New Roman"/>
          <w:color w:val="000000"/>
          <w:kern w:val="0"/>
          <w:sz w:val="31"/>
          <w:szCs w:val="31"/>
          <w:lang w:val="en-US" w:eastAsia="zh-CN" w:bidi="ar"/>
        </w:rPr>
        <w:t>670</w:t>
      </w:r>
      <w:r>
        <w:rPr>
          <w:rFonts w:ascii="仿宋_GB2312" w:hAnsi="仿宋_GB2312" w:eastAsia="仿宋_GB2312" w:cs="仿宋_GB2312"/>
          <w:color w:val="000000"/>
          <w:kern w:val="0"/>
          <w:sz w:val="31"/>
          <w:szCs w:val="31"/>
          <w:lang w:val="en-US" w:eastAsia="zh-CN" w:bidi="ar"/>
        </w:rPr>
        <w:t>万元。授中小企业合同金</w:t>
      </w:r>
      <w:r>
        <w:rPr>
          <w:rFonts w:hint="eastAsia" w:ascii="仿宋_GB2312" w:hAnsi="仿宋_GB2312" w:eastAsia="仿宋_GB2312" w:cs="仿宋_GB2312"/>
          <w:color w:val="000000"/>
          <w:kern w:val="0"/>
          <w:sz w:val="31"/>
          <w:szCs w:val="31"/>
          <w:lang w:val="en-US" w:eastAsia="zh-CN" w:bidi="ar"/>
        </w:rPr>
        <w:t>862.55</w:t>
      </w:r>
      <w:r>
        <w:rPr>
          <w:rFonts w:ascii="仿宋_GB2312" w:hAnsi="仿宋_GB2312" w:eastAsia="仿宋_GB2312" w:cs="仿宋_GB2312"/>
          <w:color w:val="000000"/>
          <w:kern w:val="0"/>
          <w:sz w:val="31"/>
          <w:szCs w:val="31"/>
          <w:lang w:val="en-US" w:eastAsia="zh-CN" w:bidi="ar"/>
        </w:rPr>
        <w:t>万元，占政府采购支出总额的</w:t>
      </w:r>
      <w:r>
        <w:rPr>
          <w:rFonts w:hint="eastAsia" w:ascii="仿宋_GB2312" w:hAnsi="仿宋_GB2312" w:eastAsia="仿宋_GB2312" w:cs="仿宋_GB2312"/>
          <w:color w:val="000000"/>
          <w:kern w:val="0"/>
          <w:sz w:val="31"/>
          <w:szCs w:val="31"/>
          <w:lang w:val="en-US" w:eastAsia="zh-CN" w:bidi="ar"/>
        </w:rPr>
        <w:t>100</w:t>
      </w:r>
      <w:r>
        <w:rPr>
          <w:rFonts w:hint="default" w:ascii="Times New Roman" w:hAnsi="Times New Roman" w:eastAsia="宋体" w:cs="Times New Roman"/>
          <w:color w:val="000000"/>
          <w:kern w:val="0"/>
          <w:sz w:val="31"/>
          <w:szCs w:val="31"/>
          <w:lang w:val="en-US" w:eastAsia="zh-CN" w:bidi="ar"/>
        </w:rPr>
        <w:t>%</w:t>
      </w:r>
      <w:r>
        <w:rPr>
          <w:rFonts w:hint="eastAsia" w:ascii="Times New Roman" w:hAnsi="Times New Roman"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其中：授予小微企业合同金额</w:t>
      </w:r>
      <w:r>
        <w:rPr>
          <w:rFonts w:hint="eastAsia" w:ascii="仿宋_GB2312" w:hAnsi="仿宋_GB2312" w:eastAsia="仿宋_GB2312" w:cs="仿宋_GB2312"/>
          <w:color w:val="000000"/>
          <w:kern w:val="0"/>
          <w:sz w:val="31"/>
          <w:szCs w:val="31"/>
          <w:lang w:val="en-US" w:eastAsia="zh-CN" w:bidi="ar"/>
        </w:rPr>
        <w:t>13.95</w:t>
      </w:r>
      <w:r>
        <w:rPr>
          <w:rFonts w:ascii="仿宋_GB2312" w:hAnsi="仿宋_GB2312" w:eastAsia="仿宋_GB2312" w:cs="仿宋_GB2312"/>
          <w:color w:val="000000"/>
          <w:kern w:val="0"/>
          <w:sz w:val="31"/>
          <w:szCs w:val="31"/>
          <w:lang w:val="en-US" w:eastAsia="zh-CN" w:bidi="ar"/>
        </w:rPr>
        <w:t xml:space="preserve">万元，占政府采购支出总额的 </w:t>
      </w:r>
      <w:r>
        <w:rPr>
          <w:rFonts w:hint="eastAsia" w:ascii="Times New Roman" w:hAnsi="Times New Roman" w:cs="Times New Roman"/>
          <w:color w:val="000000"/>
          <w:kern w:val="0"/>
          <w:sz w:val="31"/>
          <w:szCs w:val="31"/>
          <w:lang w:val="en-US" w:eastAsia="zh-CN" w:bidi="ar"/>
        </w:rPr>
        <w:t>1.6</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ascii="仿宋_GB2312" w:hAnsi="仿宋_GB2312" w:eastAsia="仿宋_GB2312" w:cs="仿宋_GB2312"/>
          <w:b/>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w:t>
      </w:r>
      <w:r>
        <w:rPr>
          <w:rFonts w:hint="eastAsia" w:ascii="仿宋_GB2312" w:hAnsi="仿宋_GB2312" w:eastAsia="仿宋_GB2312" w:cs="仿宋_GB2312"/>
          <w:b/>
          <w:color w:val="000000"/>
          <w:kern w:val="0"/>
          <w:sz w:val="31"/>
          <w:szCs w:val="31"/>
          <w:lang w:val="en-US" w:eastAsia="zh-CN" w:bidi="ar"/>
        </w:rPr>
        <w:t xml:space="preserve">二）国有资产占用情况。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截至 </w:t>
      </w:r>
      <w:r>
        <w:rPr>
          <w:rFonts w:hint="default" w:ascii="Times New Roman" w:hAnsi="Times New Roman" w:eastAsia="宋体" w:cs="Times New Roman"/>
          <w:color w:val="000000"/>
          <w:kern w:val="0"/>
          <w:sz w:val="31"/>
          <w:szCs w:val="31"/>
          <w:lang w:val="en-US" w:eastAsia="zh-CN" w:bidi="ar"/>
        </w:rPr>
        <w:t xml:space="preserve">2020 </w:t>
      </w:r>
      <w:r>
        <w:rPr>
          <w:rFonts w:ascii="仿宋_GB2312" w:hAnsi="仿宋_GB2312"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ascii="仿宋_GB2312" w:hAnsi="仿宋_GB2312"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31 </w:t>
      </w:r>
      <w:r>
        <w:rPr>
          <w:rFonts w:ascii="仿宋_GB2312" w:hAnsi="仿宋_GB2312" w:eastAsia="仿宋_GB2312" w:cs="仿宋_GB2312"/>
          <w:color w:val="000000"/>
          <w:kern w:val="0"/>
          <w:sz w:val="31"/>
          <w:szCs w:val="31"/>
          <w:lang w:val="en-US" w:eastAsia="zh-CN" w:bidi="ar"/>
        </w:rPr>
        <w:t>日，中心共有车辆</w:t>
      </w:r>
      <w:r>
        <w:rPr>
          <w:rFonts w:hint="eastAsia" w:ascii="仿宋_GB2312" w:hAnsi="仿宋_GB2312" w:eastAsia="仿宋_GB2312" w:cs="仿宋_GB2312"/>
          <w:color w:val="000000"/>
          <w:kern w:val="0"/>
          <w:sz w:val="31"/>
          <w:szCs w:val="31"/>
          <w:lang w:val="en-US" w:eastAsia="zh-CN" w:bidi="ar"/>
        </w:rPr>
        <w:t>2</w:t>
      </w:r>
      <w:r>
        <w:rPr>
          <w:rFonts w:hint="default" w:ascii="Times New Roman" w:hAnsi="Times New Roman" w:eastAsia="宋体" w:cs="Times New Roman"/>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辆，</w:t>
      </w:r>
      <w:r>
        <w:rPr>
          <w:rFonts w:hint="eastAsia" w:ascii="仿宋_GB2312" w:hAnsi="仿宋_GB2312" w:eastAsia="仿宋_GB2312" w:cs="仿宋_GB2312"/>
          <w:color w:val="000000"/>
          <w:kern w:val="0"/>
          <w:sz w:val="31"/>
          <w:szCs w:val="31"/>
          <w:lang w:val="en-US" w:eastAsia="zh-CN" w:bidi="ar"/>
        </w:rPr>
        <w:t>其中机要通信用车1辆，其他用车1辆</w:t>
      </w:r>
      <w:r>
        <w:rPr>
          <w:rFonts w:ascii="仿宋_GB2312" w:hAnsi="仿宋_GB2312" w:eastAsia="仿宋_GB2312" w:cs="仿宋_GB2312"/>
          <w:color w:val="000000"/>
          <w:kern w:val="0"/>
          <w:sz w:val="31"/>
          <w:szCs w:val="31"/>
          <w:lang w:val="en-US" w:eastAsia="zh-CN" w:bidi="ar"/>
        </w:rPr>
        <w:t xml:space="preserve">；单价 </w:t>
      </w:r>
      <w:r>
        <w:rPr>
          <w:rFonts w:hint="default" w:ascii="Times New Roman" w:hAnsi="Times New Roman" w:eastAsia="宋体" w:cs="Times New Roman"/>
          <w:color w:val="000000"/>
          <w:kern w:val="0"/>
          <w:sz w:val="31"/>
          <w:szCs w:val="31"/>
          <w:lang w:val="en-US" w:eastAsia="zh-CN" w:bidi="ar"/>
        </w:rPr>
        <w:t xml:space="preserve">50 </w:t>
      </w:r>
      <w:r>
        <w:rPr>
          <w:rFonts w:ascii="仿宋_GB2312" w:hAnsi="仿宋_GB2312" w:eastAsia="仿宋_GB2312" w:cs="仿宋_GB2312"/>
          <w:color w:val="000000"/>
          <w:kern w:val="0"/>
          <w:sz w:val="31"/>
          <w:szCs w:val="31"/>
          <w:lang w:val="en-US" w:eastAsia="zh-CN" w:bidi="ar"/>
        </w:rPr>
        <w:t xml:space="preserve">万元以上的通用设备 </w:t>
      </w:r>
      <w:r>
        <w:rPr>
          <w:rFonts w:hint="eastAsia" w:ascii="Times New Roman" w:hAnsi="Times New Roman"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台（套）。</w:t>
      </w:r>
    </w:p>
    <w:p>
      <w:pPr>
        <w:ind w:firstLine="640" w:firstLineChars="200"/>
        <w:rPr>
          <w:rFonts w:hint="eastAsia" w:ascii="仿宋_GB2312" w:hAnsi="宋体" w:eastAsia="仿宋_GB2312"/>
          <w:sz w:val="32"/>
          <w:szCs w:val="32"/>
        </w:rPr>
      </w:pPr>
    </w:p>
    <w:p>
      <w:pPr>
        <w:keepNext w:val="0"/>
        <w:keepLines w:val="0"/>
        <w:widowControl/>
        <w:suppressLineNumbers w:val="0"/>
        <w:jc w:val="center"/>
        <w:rPr>
          <w:rFonts w:ascii="黑体" w:hAnsi="宋体" w:eastAsia="黑体" w:cs="黑体"/>
          <w:color w:val="000000"/>
          <w:kern w:val="0"/>
          <w:sz w:val="84"/>
          <w:szCs w:val="84"/>
          <w:lang w:val="en-US" w:eastAsia="zh-CN" w:bidi="ar"/>
        </w:rPr>
      </w:pPr>
    </w:p>
    <w:p>
      <w:pPr>
        <w:keepNext w:val="0"/>
        <w:keepLines w:val="0"/>
        <w:widowControl/>
        <w:suppressLineNumbers w:val="0"/>
        <w:jc w:val="center"/>
        <w:rPr>
          <w:rFonts w:ascii="黑体" w:hAnsi="宋体" w:eastAsia="黑体" w:cs="黑体"/>
          <w:color w:val="000000"/>
          <w:kern w:val="0"/>
          <w:sz w:val="84"/>
          <w:szCs w:val="84"/>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rFonts w:ascii="黑体" w:hAnsi="宋体" w:eastAsia="黑体" w:cs="黑体"/>
          <w:color w:val="000000"/>
          <w:kern w:val="0"/>
          <w:sz w:val="72"/>
          <w:szCs w:val="72"/>
          <w:lang w:val="en-US" w:eastAsia="zh-CN" w:bidi="ar"/>
        </w:rPr>
      </w:pPr>
    </w:p>
    <w:p>
      <w:pPr>
        <w:keepNext w:val="0"/>
        <w:keepLines w:val="0"/>
        <w:widowControl/>
        <w:suppressLineNumbers w:val="0"/>
        <w:jc w:val="center"/>
        <w:rPr>
          <w:sz w:val="72"/>
          <w:szCs w:val="72"/>
        </w:rPr>
      </w:pPr>
      <w:r>
        <w:rPr>
          <w:rFonts w:ascii="黑体" w:hAnsi="宋体" w:eastAsia="黑体" w:cs="黑体"/>
          <w:color w:val="000000"/>
          <w:kern w:val="0"/>
          <w:sz w:val="72"/>
          <w:szCs w:val="72"/>
          <w:lang w:val="en-US" w:eastAsia="zh-CN" w:bidi="ar"/>
        </w:rPr>
        <w:t>第四部分</w:t>
      </w:r>
    </w:p>
    <w:p>
      <w:pPr>
        <w:keepNext w:val="0"/>
        <w:keepLines w:val="0"/>
        <w:widowControl/>
        <w:suppressLineNumbers w:val="0"/>
        <w:jc w:val="center"/>
        <w:rPr>
          <w:rFonts w:hint="eastAsia" w:ascii="黑体" w:hAnsi="宋体" w:eastAsia="黑体" w:cs="黑体"/>
          <w:color w:val="000000"/>
          <w:kern w:val="0"/>
          <w:sz w:val="72"/>
          <w:szCs w:val="72"/>
          <w:lang w:val="en-US" w:eastAsia="zh-CN" w:bidi="ar"/>
        </w:rPr>
      </w:pPr>
      <w:r>
        <w:rPr>
          <w:rFonts w:hint="eastAsia" w:ascii="黑体" w:hAnsi="宋体" w:eastAsia="黑体" w:cs="黑体"/>
          <w:color w:val="000000"/>
          <w:kern w:val="0"/>
          <w:sz w:val="72"/>
          <w:szCs w:val="72"/>
          <w:lang w:val="en-US" w:eastAsia="zh-CN" w:bidi="ar"/>
        </w:rPr>
        <w:t>名词解释</w:t>
      </w:r>
    </w:p>
    <w:p>
      <w:pPr>
        <w:keepNext w:val="0"/>
        <w:keepLines w:val="0"/>
        <w:widowControl/>
        <w:suppressLineNumbers w:val="0"/>
        <w:jc w:val="center"/>
        <w:rPr>
          <w:rFonts w:hint="eastAsia" w:ascii="黑体" w:hAnsi="宋体" w:eastAsia="黑体" w:cs="黑体"/>
          <w:color w:val="000000"/>
          <w:kern w:val="0"/>
          <w:sz w:val="84"/>
          <w:szCs w:val="84"/>
          <w:lang w:val="en-US" w:eastAsia="zh-CN" w:bidi="ar"/>
        </w:rPr>
      </w:pPr>
    </w:p>
    <w:p>
      <w:pPr>
        <w:keepNext w:val="0"/>
        <w:keepLines w:val="0"/>
        <w:widowControl/>
        <w:suppressLineNumbers w:val="0"/>
        <w:jc w:val="left"/>
        <w:rPr>
          <w:rFonts w:hint="eastAsia" w:ascii="黑体" w:hAnsi="宋体" w:eastAsia="黑体" w:cs="黑体"/>
          <w:color w:val="000000"/>
          <w:kern w:val="0"/>
          <w:sz w:val="84"/>
          <w:szCs w:val="84"/>
          <w:lang w:val="en-US" w:eastAsia="zh-CN" w:bidi="ar"/>
        </w:rPr>
      </w:pPr>
    </w:p>
    <w:p>
      <w:pPr>
        <w:keepNext w:val="0"/>
        <w:keepLines w:val="0"/>
        <w:widowControl/>
        <w:suppressLineNumbers w:val="0"/>
        <w:jc w:val="left"/>
        <w:rPr>
          <w:rFonts w:hint="eastAsia" w:ascii="黑体" w:hAnsi="宋体" w:eastAsia="黑体" w:cs="黑体"/>
          <w:color w:val="000000"/>
          <w:kern w:val="0"/>
          <w:sz w:val="84"/>
          <w:szCs w:val="84"/>
          <w:lang w:val="en-US" w:eastAsia="zh-CN" w:bidi="ar"/>
        </w:rPr>
      </w:pPr>
    </w:p>
    <w:p>
      <w:pPr>
        <w:keepNext w:val="0"/>
        <w:keepLines w:val="0"/>
        <w:widowControl/>
        <w:suppressLineNumbers w:val="0"/>
        <w:jc w:val="left"/>
        <w:rPr>
          <w:rFonts w:hint="eastAsia" w:ascii="黑体" w:hAnsi="宋体" w:eastAsia="黑体" w:cs="黑体"/>
          <w:color w:val="000000"/>
          <w:kern w:val="0"/>
          <w:sz w:val="84"/>
          <w:szCs w:val="84"/>
          <w:lang w:val="en-US" w:eastAsia="zh-CN" w:bidi="ar"/>
        </w:rPr>
      </w:pPr>
    </w:p>
    <w:p>
      <w:pPr>
        <w:keepNext w:val="0"/>
        <w:keepLines w:val="0"/>
        <w:widowControl/>
        <w:suppressLineNumbers w:val="0"/>
        <w:jc w:val="left"/>
        <w:rPr>
          <w:rFonts w:hint="eastAsia" w:ascii="黑体" w:hAnsi="宋体" w:eastAsia="黑体" w:cs="黑体"/>
          <w:color w:val="000000"/>
          <w:kern w:val="0"/>
          <w:sz w:val="84"/>
          <w:szCs w:val="84"/>
          <w:lang w:val="en-US" w:eastAsia="zh-CN" w:bidi="ar"/>
        </w:rPr>
      </w:pPr>
    </w:p>
    <w:p>
      <w:pPr>
        <w:keepNext w:val="0"/>
        <w:keepLines w:val="0"/>
        <w:widowControl/>
        <w:suppressLineNumbers w:val="0"/>
        <w:ind w:firstLine="622" w:firstLineChars="200"/>
        <w:jc w:val="left"/>
        <w:rPr>
          <w:rFonts w:ascii="仿宋_GB2312" w:hAnsi="仿宋_GB2312" w:eastAsia="仿宋_GB2312" w:cs="仿宋_GB2312"/>
          <w:b/>
          <w:color w:val="000000"/>
          <w:kern w:val="0"/>
          <w:sz w:val="31"/>
          <w:szCs w:val="31"/>
          <w:lang w:val="en-US" w:eastAsia="zh-CN" w:bidi="ar"/>
        </w:rPr>
      </w:pP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（一）财政拨款收入：</w:t>
      </w:r>
      <w:r>
        <w:rPr>
          <w:rFonts w:ascii="仿宋_GB2312" w:hAnsi="仿宋_GB2312" w:eastAsia="仿宋_GB2312" w:cs="仿宋_GB2312"/>
          <w:color w:val="000000"/>
          <w:kern w:val="0"/>
          <w:sz w:val="31"/>
          <w:szCs w:val="31"/>
          <w:lang w:val="en-US" w:eastAsia="zh-CN" w:bidi="ar"/>
        </w:rPr>
        <w:t xml:space="preserve">指中央财政当年拨付的资金。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（二）事业收入：</w:t>
      </w:r>
      <w:r>
        <w:rPr>
          <w:rFonts w:ascii="仿宋_GB2312" w:hAnsi="仿宋_GB2312" w:eastAsia="仿宋_GB2312" w:cs="仿宋_GB2312"/>
          <w:color w:val="000000"/>
          <w:kern w:val="0"/>
          <w:sz w:val="31"/>
          <w:szCs w:val="31"/>
          <w:lang w:val="en-US" w:eastAsia="zh-CN" w:bidi="ar"/>
        </w:rPr>
        <w:t xml:space="preserve">指事业单位开展专业业务活动及其辅助活动取得的收入。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（三）经营收入：</w:t>
      </w:r>
      <w:r>
        <w:rPr>
          <w:rFonts w:ascii="仿宋_GB2312" w:hAnsi="仿宋_GB2312" w:eastAsia="仿宋_GB2312" w:cs="仿宋_GB2312"/>
          <w:color w:val="000000"/>
          <w:kern w:val="0"/>
          <w:sz w:val="31"/>
          <w:szCs w:val="31"/>
          <w:lang w:val="en-US" w:eastAsia="zh-CN" w:bidi="ar"/>
        </w:rPr>
        <w:t xml:space="preserve">指事业单位在专业业务活动及其辅助活动之外开展非独立核算经营活动取得的收入。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（四）其他收入：</w:t>
      </w:r>
      <w:r>
        <w:rPr>
          <w:rFonts w:ascii="仿宋_GB2312" w:hAnsi="仿宋_GB2312" w:eastAsia="仿宋_GB2312" w:cs="仿宋_GB2312"/>
          <w:color w:val="000000"/>
          <w:kern w:val="0"/>
          <w:sz w:val="31"/>
          <w:szCs w:val="31"/>
          <w:lang w:val="en-US" w:eastAsia="zh-CN" w:bidi="ar"/>
        </w:rPr>
        <w:t xml:space="preserve">指除上述“财政拨款收入”、“事业收入”、 “经营收入”等以外的收入，如投资收益、利息收入等。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（五）使用非财政拨款结余：</w:t>
      </w:r>
      <w:r>
        <w:rPr>
          <w:rFonts w:ascii="仿宋_GB2312" w:hAnsi="仿宋_GB2312" w:eastAsia="仿宋_GB2312" w:cs="仿宋_GB2312"/>
          <w:color w:val="000000"/>
          <w:kern w:val="0"/>
          <w:sz w:val="31"/>
          <w:szCs w:val="31"/>
          <w:lang w:val="en-US" w:eastAsia="zh-CN" w:bidi="ar"/>
        </w:rPr>
        <w:t>指事业单位在当年的财政拨款收入、事业收入、其他收入不足以安排当年支出的情况下，使用以前年度积累的非限定用途的非财政拨款结余弥补本年度收支缺口的资金。</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（六）年初结转和结余：</w:t>
      </w:r>
      <w:r>
        <w:rPr>
          <w:rFonts w:ascii="仿宋_GB2312" w:hAnsi="仿宋_GB2312" w:eastAsia="仿宋_GB2312" w:cs="仿宋_GB2312"/>
          <w:color w:val="000000"/>
          <w:kern w:val="0"/>
          <w:sz w:val="31"/>
          <w:szCs w:val="31"/>
          <w:lang w:val="en-US" w:eastAsia="zh-CN" w:bidi="ar"/>
        </w:rPr>
        <w:t xml:space="preserve">指单位本年度或以前年度预算安排、因客观条件发生变化未全部执行或未执行，结转到以后年度继续使用的资金，或项目已完成等产生的结余资金。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 xml:space="preserve">（七）资源勘探工业信息等（类）工业和信息产业监管（款） </w:t>
      </w:r>
    </w:p>
    <w:p>
      <w:pPr>
        <w:keepNext w:val="0"/>
        <w:keepLines w:val="0"/>
        <w:widowControl/>
        <w:suppressLineNumbers w:val="0"/>
        <w:jc w:val="left"/>
      </w:pPr>
      <w:r>
        <w:rPr>
          <w:rFonts w:ascii="仿宋_GB2312" w:hAnsi="仿宋_GB2312" w:eastAsia="仿宋_GB2312" w:cs="仿宋_GB2312"/>
          <w:b/>
          <w:color w:val="000000"/>
          <w:kern w:val="0"/>
          <w:sz w:val="31"/>
          <w:szCs w:val="31"/>
          <w:lang w:val="en-US" w:eastAsia="zh-CN" w:bidi="ar"/>
        </w:rPr>
        <w:t>其他工业和信息产业监管支出（项）：</w:t>
      </w:r>
      <w:r>
        <w:rPr>
          <w:rFonts w:ascii="仿宋_GB2312" w:hAnsi="仿宋_GB2312" w:eastAsia="仿宋_GB2312" w:cs="仿宋_GB2312"/>
          <w:color w:val="000000"/>
          <w:kern w:val="0"/>
          <w:sz w:val="31"/>
          <w:szCs w:val="31"/>
          <w:lang w:val="en-US" w:eastAsia="zh-CN" w:bidi="ar"/>
        </w:rPr>
        <w:t xml:space="preserve">反映其他用于工业和信息产业监管方面的支出。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（八）住房保障支出（类）住房改革支出（款）：</w:t>
      </w:r>
      <w:r>
        <w:rPr>
          <w:rFonts w:ascii="仿宋_GB2312" w:hAnsi="仿宋_GB2312" w:eastAsia="仿宋_GB2312" w:cs="仿宋_GB2312"/>
          <w:color w:val="000000"/>
          <w:kern w:val="0"/>
          <w:sz w:val="31"/>
          <w:szCs w:val="31"/>
          <w:lang w:val="en-US" w:eastAsia="zh-CN" w:bidi="ar"/>
        </w:rPr>
        <w:t xml:space="preserve">反映行政事业单位用财政拨款资金和其他资金等安排的住房改革支出。 </w:t>
      </w:r>
    </w:p>
    <w:p>
      <w:pPr>
        <w:keepNext w:val="0"/>
        <w:keepLines w:val="0"/>
        <w:widowControl/>
        <w:suppressLineNumbers w:val="0"/>
        <w:ind w:firstLine="622" w:firstLineChars="200"/>
        <w:jc w:val="left"/>
      </w:pPr>
      <w:r>
        <w:rPr>
          <w:rFonts w:hint="default" w:ascii="Times New Roman" w:hAnsi="Times New Roman" w:eastAsia="宋体" w:cs="Times New Roman"/>
          <w:b/>
          <w:color w:val="000000"/>
          <w:kern w:val="0"/>
          <w:sz w:val="31"/>
          <w:szCs w:val="31"/>
          <w:lang w:val="en-US" w:eastAsia="zh-CN" w:bidi="ar"/>
        </w:rPr>
        <w:t xml:space="preserve">1. </w:t>
      </w:r>
      <w:r>
        <w:rPr>
          <w:rFonts w:ascii="仿宋_GB2312" w:hAnsi="仿宋_GB2312" w:eastAsia="仿宋_GB2312" w:cs="仿宋_GB2312"/>
          <w:b/>
          <w:color w:val="000000"/>
          <w:kern w:val="0"/>
          <w:sz w:val="31"/>
          <w:szCs w:val="31"/>
          <w:lang w:val="en-US" w:eastAsia="zh-CN" w:bidi="ar"/>
        </w:rPr>
        <w:t>住房公积金（项）：</w:t>
      </w:r>
      <w:r>
        <w:rPr>
          <w:rFonts w:ascii="仿宋_GB2312" w:hAnsi="仿宋_GB2312" w:eastAsia="仿宋_GB2312" w:cs="仿宋_GB2312"/>
          <w:color w:val="000000"/>
          <w:kern w:val="0"/>
          <w:sz w:val="31"/>
          <w:szCs w:val="31"/>
          <w:lang w:val="en-US" w:eastAsia="zh-CN" w:bidi="ar"/>
        </w:rPr>
        <w:t xml:space="preserve">反映行政事业单位按人力资源和社会保障部、财政部规定的基本工资和津贴补贴以及规定比例为职工缴纳的住房公积金。 </w:t>
      </w:r>
    </w:p>
    <w:p>
      <w:pPr>
        <w:keepNext w:val="0"/>
        <w:keepLines w:val="0"/>
        <w:widowControl/>
        <w:suppressLineNumbers w:val="0"/>
        <w:ind w:firstLine="622" w:firstLineChars="200"/>
        <w:jc w:val="left"/>
      </w:pPr>
      <w:r>
        <w:rPr>
          <w:rFonts w:hint="default" w:ascii="Times New Roman" w:hAnsi="Times New Roman" w:eastAsia="宋体" w:cs="Times New Roman"/>
          <w:b/>
          <w:color w:val="000000"/>
          <w:kern w:val="0"/>
          <w:sz w:val="31"/>
          <w:szCs w:val="31"/>
          <w:lang w:val="en-US" w:eastAsia="zh-CN" w:bidi="ar"/>
        </w:rPr>
        <w:t xml:space="preserve">2. </w:t>
      </w:r>
      <w:r>
        <w:rPr>
          <w:rFonts w:ascii="仿宋_GB2312" w:hAnsi="仿宋_GB2312" w:eastAsia="仿宋_GB2312" w:cs="仿宋_GB2312"/>
          <w:b/>
          <w:color w:val="000000"/>
          <w:kern w:val="0"/>
          <w:sz w:val="31"/>
          <w:szCs w:val="31"/>
          <w:lang w:val="en-US" w:eastAsia="zh-CN" w:bidi="ar"/>
        </w:rPr>
        <w:t>提租补贴（项）：</w:t>
      </w:r>
      <w:r>
        <w:rPr>
          <w:rFonts w:ascii="仿宋_GB2312" w:hAnsi="仿宋_GB2312" w:eastAsia="仿宋_GB2312" w:cs="仿宋_GB2312"/>
          <w:color w:val="000000"/>
          <w:kern w:val="0"/>
          <w:sz w:val="31"/>
          <w:szCs w:val="31"/>
          <w:lang w:val="en-US" w:eastAsia="zh-CN" w:bidi="ar"/>
        </w:rPr>
        <w:t xml:space="preserve">反映按房改政策规定的标准，行政事业单位向职工（含离退休人员）发放的租金补贴。 </w:t>
      </w:r>
    </w:p>
    <w:p>
      <w:pPr>
        <w:keepNext w:val="0"/>
        <w:keepLines w:val="0"/>
        <w:widowControl/>
        <w:suppressLineNumbers w:val="0"/>
        <w:ind w:firstLine="622" w:firstLineChars="200"/>
        <w:jc w:val="left"/>
      </w:pPr>
      <w:r>
        <w:rPr>
          <w:rFonts w:hint="default" w:ascii="Times New Roman" w:hAnsi="Times New Roman" w:eastAsia="宋体" w:cs="Times New Roman"/>
          <w:b/>
          <w:color w:val="000000"/>
          <w:kern w:val="0"/>
          <w:sz w:val="31"/>
          <w:szCs w:val="31"/>
          <w:lang w:val="en-US" w:eastAsia="zh-CN" w:bidi="ar"/>
        </w:rPr>
        <w:t xml:space="preserve">3. </w:t>
      </w:r>
      <w:r>
        <w:rPr>
          <w:rFonts w:ascii="仿宋_GB2312" w:hAnsi="仿宋_GB2312" w:eastAsia="仿宋_GB2312" w:cs="仿宋_GB2312"/>
          <w:b/>
          <w:color w:val="000000"/>
          <w:kern w:val="0"/>
          <w:sz w:val="31"/>
          <w:szCs w:val="31"/>
          <w:lang w:val="en-US" w:eastAsia="zh-CN" w:bidi="ar"/>
        </w:rPr>
        <w:t>购房补贴（项）：</w:t>
      </w:r>
      <w:r>
        <w:rPr>
          <w:rFonts w:ascii="仿宋_GB2312" w:hAnsi="仿宋_GB2312" w:eastAsia="仿宋_GB2312" w:cs="仿宋_GB2312"/>
          <w:color w:val="000000"/>
          <w:kern w:val="0"/>
          <w:sz w:val="31"/>
          <w:szCs w:val="31"/>
          <w:lang w:val="en-US" w:eastAsia="zh-CN" w:bidi="ar"/>
        </w:rPr>
        <w:t xml:space="preserve">反映按房改政策规定，行政事业单位向符合条件职工（含离退休人员）发放的用于购买住房的补贴。 </w:t>
      </w:r>
    </w:p>
    <w:p>
      <w:pPr>
        <w:keepNext w:val="0"/>
        <w:keepLines w:val="0"/>
        <w:widowControl/>
        <w:suppressLineNumbers w:val="0"/>
        <w:ind w:firstLine="622"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b/>
          <w:color w:val="000000"/>
          <w:kern w:val="0"/>
          <w:sz w:val="31"/>
          <w:szCs w:val="31"/>
          <w:lang w:val="en-US" w:eastAsia="zh-CN" w:bidi="ar"/>
        </w:rPr>
        <w:t>（九）结余分配：</w:t>
      </w:r>
      <w:r>
        <w:rPr>
          <w:rFonts w:ascii="仿宋_GB2312" w:hAnsi="仿宋_GB2312" w:eastAsia="仿宋_GB2312" w:cs="仿宋_GB2312"/>
          <w:color w:val="000000"/>
          <w:kern w:val="0"/>
          <w:sz w:val="31"/>
          <w:szCs w:val="31"/>
          <w:lang w:val="en-US" w:eastAsia="zh-CN" w:bidi="ar"/>
        </w:rPr>
        <w:t xml:space="preserve">指事业单位按照会计制度规定缴纳的所得税以及从非财政补助结余中提取的职工福利基金、事业基金等。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（十）年末结转和结余：</w:t>
      </w:r>
      <w:r>
        <w:rPr>
          <w:rFonts w:ascii="仿宋_GB2312" w:hAnsi="仿宋_GB2312" w:eastAsia="仿宋_GB2312" w:cs="仿宋_GB2312"/>
          <w:color w:val="000000"/>
          <w:kern w:val="0"/>
          <w:sz w:val="31"/>
          <w:szCs w:val="31"/>
          <w:lang w:val="en-US" w:eastAsia="zh-CN" w:bidi="ar"/>
        </w:rPr>
        <w:t xml:space="preserve">指单位按有关规定结转到下年或以后年度继续使用的资金。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（十一）基本支出：</w:t>
      </w:r>
      <w:r>
        <w:rPr>
          <w:rFonts w:ascii="仿宋_GB2312" w:hAnsi="仿宋_GB2312" w:eastAsia="仿宋_GB2312" w:cs="仿宋_GB2312"/>
          <w:color w:val="000000"/>
          <w:kern w:val="0"/>
          <w:sz w:val="31"/>
          <w:szCs w:val="31"/>
          <w:lang w:val="en-US" w:eastAsia="zh-CN" w:bidi="ar"/>
        </w:rPr>
        <w:t xml:space="preserve">指为保障机构正常运转、完成日常工作任务而发生的人员支出和公用支出。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（十二）项目支出：</w:t>
      </w:r>
      <w:r>
        <w:rPr>
          <w:rFonts w:ascii="仿宋_GB2312" w:hAnsi="仿宋_GB2312" w:eastAsia="仿宋_GB2312" w:cs="仿宋_GB2312"/>
          <w:color w:val="000000"/>
          <w:kern w:val="0"/>
          <w:sz w:val="31"/>
          <w:szCs w:val="31"/>
          <w:lang w:val="en-US" w:eastAsia="zh-CN" w:bidi="ar"/>
        </w:rPr>
        <w:t xml:space="preserve">指在基本支出之外为完成特定行政任务和事业发展目标所发生的支出。 </w:t>
      </w:r>
    </w:p>
    <w:p>
      <w:pPr>
        <w:keepNext w:val="0"/>
        <w:keepLines w:val="0"/>
        <w:widowControl/>
        <w:suppressLineNumbers w:val="0"/>
        <w:ind w:firstLine="622" w:firstLineChars="200"/>
        <w:jc w:val="left"/>
      </w:pPr>
      <w:r>
        <w:rPr>
          <w:rFonts w:ascii="仿宋_GB2312" w:hAnsi="仿宋_GB2312" w:eastAsia="仿宋_GB2312" w:cs="仿宋_GB2312"/>
          <w:b/>
          <w:color w:val="000000"/>
          <w:kern w:val="0"/>
          <w:sz w:val="31"/>
          <w:szCs w:val="31"/>
          <w:lang w:val="en-US" w:eastAsia="zh-CN" w:bidi="ar"/>
        </w:rPr>
        <w:t>（十三）经营支出：</w:t>
      </w:r>
      <w:r>
        <w:rPr>
          <w:rFonts w:ascii="仿宋_GB2312" w:hAnsi="仿宋_GB2312" w:eastAsia="仿宋_GB2312" w:cs="仿宋_GB2312"/>
          <w:color w:val="000000"/>
          <w:kern w:val="0"/>
          <w:sz w:val="31"/>
          <w:szCs w:val="31"/>
          <w:lang w:val="en-US" w:eastAsia="zh-CN" w:bidi="ar"/>
        </w:rPr>
        <w:t xml:space="preserve">指事业单位在专业业务活动及其辅助活动之外开展非独立核算经营活动发生的支出。 </w:t>
      </w:r>
    </w:p>
    <w:p>
      <w:pPr>
        <w:keepNext w:val="0"/>
        <w:keepLines w:val="0"/>
        <w:widowControl/>
        <w:suppressLineNumbers w:val="0"/>
        <w:jc w:val="left"/>
      </w:pPr>
    </w:p>
    <w:p>
      <w:pPr>
        <w:ind w:firstLine="640" w:firstLineChars="200"/>
        <w:rPr>
          <w:rFonts w:hint="eastAsia" w:ascii="仿宋_GB2312" w:hAnsi="宋体" w:eastAsia="仿宋_GB2312"/>
          <w:sz w:val="32"/>
          <w:szCs w:val="32"/>
          <w:lang w:eastAsia="zh-CN"/>
        </w:rPr>
      </w:pPr>
    </w:p>
    <w:p>
      <w:pPr>
        <w:rPr>
          <w:rFonts w:hint="eastAsia"/>
        </w:rPr>
      </w:pPr>
    </w:p>
    <w:sectPr>
      <w:pgSz w:w="11907" w:h="16840"/>
      <w:pgMar w:top="1440" w:right="1797" w:bottom="1440" w:left="1797" w:header="851" w:footer="992" w:gutter="0"/>
      <w:paperSrc/>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between w:val="none" w:color="auto" w:sz="50" w:space="0"/>
      </w:pBdr>
      <w:spacing w:after="0" w:afterLines="0"/>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between w:val="none" w:color="auto" w:sz="0" w:space="0"/>
      </w:pBdr>
      <w:spacing w:after="0" w:afterLines="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PVSPj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D4"/>
    <w:rsid w:val="000107E0"/>
    <w:rsid w:val="00012A71"/>
    <w:rsid w:val="00021C98"/>
    <w:rsid w:val="00025A2C"/>
    <w:rsid w:val="000417EC"/>
    <w:rsid w:val="00076FE9"/>
    <w:rsid w:val="00091F46"/>
    <w:rsid w:val="00093E46"/>
    <w:rsid w:val="000A28D8"/>
    <w:rsid w:val="0014099C"/>
    <w:rsid w:val="00165EBB"/>
    <w:rsid w:val="0017414A"/>
    <w:rsid w:val="001923EB"/>
    <w:rsid w:val="001A6DFA"/>
    <w:rsid w:val="001F2559"/>
    <w:rsid w:val="002603FC"/>
    <w:rsid w:val="00274D45"/>
    <w:rsid w:val="002811CB"/>
    <w:rsid w:val="002B6C83"/>
    <w:rsid w:val="002F2331"/>
    <w:rsid w:val="00314E91"/>
    <w:rsid w:val="0034621B"/>
    <w:rsid w:val="003E2B97"/>
    <w:rsid w:val="003E6146"/>
    <w:rsid w:val="0040385F"/>
    <w:rsid w:val="004239AA"/>
    <w:rsid w:val="004427CE"/>
    <w:rsid w:val="004C1EC4"/>
    <w:rsid w:val="004F6A50"/>
    <w:rsid w:val="0053741C"/>
    <w:rsid w:val="0056712D"/>
    <w:rsid w:val="00572F05"/>
    <w:rsid w:val="0057559E"/>
    <w:rsid w:val="005E08B7"/>
    <w:rsid w:val="005E3E6D"/>
    <w:rsid w:val="00600380"/>
    <w:rsid w:val="006453D4"/>
    <w:rsid w:val="006A7A50"/>
    <w:rsid w:val="006D51A5"/>
    <w:rsid w:val="006D7737"/>
    <w:rsid w:val="006D7EEC"/>
    <w:rsid w:val="006F6210"/>
    <w:rsid w:val="0071421D"/>
    <w:rsid w:val="00721843"/>
    <w:rsid w:val="00772C27"/>
    <w:rsid w:val="0079480B"/>
    <w:rsid w:val="007973DC"/>
    <w:rsid w:val="007A0AE5"/>
    <w:rsid w:val="007D64DF"/>
    <w:rsid w:val="00830A31"/>
    <w:rsid w:val="008A06DC"/>
    <w:rsid w:val="008E7FC5"/>
    <w:rsid w:val="00912E25"/>
    <w:rsid w:val="00962F82"/>
    <w:rsid w:val="00966C0F"/>
    <w:rsid w:val="00994DDF"/>
    <w:rsid w:val="00A01B11"/>
    <w:rsid w:val="00A606FD"/>
    <w:rsid w:val="00A83A97"/>
    <w:rsid w:val="00AA32EB"/>
    <w:rsid w:val="00AC7628"/>
    <w:rsid w:val="00B04B6B"/>
    <w:rsid w:val="00B10F5C"/>
    <w:rsid w:val="00B3445B"/>
    <w:rsid w:val="00B463EE"/>
    <w:rsid w:val="00B6107A"/>
    <w:rsid w:val="00C01E7D"/>
    <w:rsid w:val="00C5387A"/>
    <w:rsid w:val="00D5038A"/>
    <w:rsid w:val="00D97D79"/>
    <w:rsid w:val="00DB52EF"/>
    <w:rsid w:val="00DD3DE9"/>
    <w:rsid w:val="00E26BF8"/>
    <w:rsid w:val="00E431C1"/>
    <w:rsid w:val="00E72333"/>
    <w:rsid w:val="00EC3893"/>
    <w:rsid w:val="00EC79D6"/>
    <w:rsid w:val="00EE16F0"/>
    <w:rsid w:val="00EF4EDB"/>
    <w:rsid w:val="00F16324"/>
    <w:rsid w:val="00F30BC1"/>
    <w:rsid w:val="00F5044D"/>
    <w:rsid w:val="00F57183"/>
    <w:rsid w:val="00F91464"/>
    <w:rsid w:val="00FA7E30"/>
    <w:rsid w:val="00FB3137"/>
    <w:rsid w:val="00FD6FAA"/>
    <w:rsid w:val="00FF6209"/>
    <w:rsid w:val="0107182C"/>
    <w:rsid w:val="01610737"/>
    <w:rsid w:val="0285796C"/>
    <w:rsid w:val="02EF3F5D"/>
    <w:rsid w:val="02F35099"/>
    <w:rsid w:val="03105E77"/>
    <w:rsid w:val="040A3162"/>
    <w:rsid w:val="04246559"/>
    <w:rsid w:val="044D362F"/>
    <w:rsid w:val="049325F0"/>
    <w:rsid w:val="055844FC"/>
    <w:rsid w:val="05826495"/>
    <w:rsid w:val="05AB3E93"/>
    <w:rsid w:val="05B56DEC"/>
    <w:rsid w:val="05DE1BD8"/>
    <w:rsid w:val="064D5579"/>
    <w:rsid w:val="06FA2242"/>
    <w:rsid w:val="076F023F"/>
    <w:rsid w:val="07FF586C"/>
    <w:rsid w:val="08BB245F"/>
    <w:rsid w:val="08BE6C67"/>
    <w:rsid w:val="08E9332E"/>
    <w:rsid w:val="091178F9"/>
    <w:rsid w:val="09285EF7"/>
    <w:rsid w:val="095F2F6D"/>
    <w:rsid w:val="09837CAA"/>
    <w:rsid w:val="0A3C6D9D"/>
    <w:rsid w:val="0A563A66"/>
    <w:rsid w:val="0C155B48"/>
    <w:rsid w:val="0C9D11C1"/>
    <w:rsid w:val="0CE669B8"/>
    <w:rsid w:val="0CE96D24"/>
    <w:rsid w:val="0CED43A2"/>
    <w:rsid w:val="0CF072ED"/>
    <w:rsid w:val="0D166795"/>
    <w:rsid w:val="0E2E19B6"/>
    <w:rsid w:val="0EA12272"/>
    <w:rsid w:val="0EE213FB"/>
    <w:rsid w:val="0EF1260E"/>
    <w:rsid w:val="0F1F7F17"/>
    <w:rsid w:val="0F722C06"/>
    <w:rsid w:val="0F743886"/>
    <w:rsid w:val="0F952A05"/>
    <w:rsid w:val="108E3943"/>
    <w:rsid w:val="10AF4E6E"/>
    <w:rsid w:val="10E221B2"/>
    <w:rsid w:val="10F13359"/>
    <w:rsid w:val="11647E78"/>
    <w:rsid w:val="117B32BD"/>
    <w:rsid w:val="11BB40A7"/>
    <w:rsid w:val="12714ACF"/>
    <w:rsid w:val="12E85A12"/>
    <w:rsid w:val="12FD09EA"/>
    <w:rsid w:val="13D05D10"/>
    <w:rsid w:val="13F07A86"/>
    <w:rsid w:val="13F821A5"/>
    <w:rsid w:val="13FD090D"/>
    <w:rsid w:val="14B971CA"/>
    <w:rsid w:val="14FB571F"/>
    <w:rsid w:val="153517DB"/>
    <w:rsid w:val="165C6EAE"/>
    <w:rsid w:val="18D15BB1"/>
    <w:rsid w:val="19617DCB"/>
    <w:rsid w:val="196D0E1F"/>
    <w:rsid w:val="1A441FF5"/>
    <w:rsid w:val="1ABC1092"/>
    <w:rsid w:val="1B597490"/>
    <w:rsid w:val="1B9E0B29"/>
    <w:rsid w:val="1C1C2FAC"/>
    <w:rsid w:val="1C477673"/>
    <w:rsid w:val="1CE8422E"/>
    <w:rsid w:val="1D3A3272"/>
    <w:rsid w:val="1E1B44D4"/>
    <w:rsid w:val="1E272107"/>
    <w:rsid w:val="1E682B71"/>
    <w:rsid w:val="1E862121"/>
    <w:rsid w:val="1E9C42C4"/>
    <w:rsid w:val="1E9E65DB"/>
    <w:rsid w:val="1F9518C1"/>
    <w:rsid w:val="201D6D3F"/>
    <w:rsid w:val="209F0212"/>
    <w:rsid w:val="20B47065"/>
    <w:rsid w:val="20B7445B"/>
    <w:rsid w:val="20FE076B"/>
    <w:rsid w:val="210C5A03"/>
    <w:rsid w:val="212C10FB"/>
    <w:rsid w:val="21B602E2"/>
    <w:rsid w:val="21B96760"/>
    <w:rsid w:val="21DE69A0"/>
    <w:rsid w:val="21E377E8"/>
    <w:rsid w:val="22CF7651"/>
    <w:rsid w:val="22E14E60"/>
    <w:rsid w:val="22E2373A"/>
    <w:rsid w:val="236B742B"/>
    <w:rsid w:val="243A0D7D"/>
    <w:rsid w:val="2443168D"/>
    <w:rsid w:val="24CF1271"/>
    <w:rsid w:val="25CD144E"/>
    <w:rsid w:val="26EA60E8"/>
    <w:rsid w:val="27D55CE6"/>
    <w:rsid w:val="2875788E"/>
    <w:rsid w:val="289B573C"/>
    <w:rsid w:val="28D5368A"/>
    <w:rsid w:val="2941665A"/>
    <w:rsid w:val="295F1AB7"/>
    <w:rsid w:val="29AD2208"/>
    <w:rsid w:val="29D17C29"/>
    <w:rsid w:val="2A0B435A"/>
    <w:rsid w:val="2A21112E"/>
    <w:rsid w:val="2A9A1CF1"/>
    <w:rsid w:val="2AE96336"/>
    <w:rsid w:val="2B814AF9"/>
    <w:rsid w:val="2BAF3DB8"/>
    <w:rsid w:val="2C491387"/>
    <w:rsid w:val="2CF74208"/>
    <w:rsid w:val="2D3816C0"/>
    <w:rsid w:val="2D4E4902"/>
    <w:rsid w:val="2D71729C"/>
    <w:rsid w:val="2D7F2AD4"/>
    <w:rsid w:val="2DEF0A29"/>
    <w:rsid w:val="2E746669"/>
    <w:rsid w:val="2E992581"/>
    <w:rsid w:val="2EAF213D"/>
    <w:rsid w:val="2EB9629F"/>
    <w:rsid w:val="2F293E8A"/>
    <w:rsid w:val="2F2A574A"/>
    <w:rsid w:val="2F2C011B"/>
    <w:rsid w:val="2FD7548C"/>
    <w:rsid w:val="300F55E6"/>
    <w:rsid w:val="30D5792D"/>
    <w:rsid w:val="310A2D64"/>
    <w:rsid w:val="312845AC"/>
    <w:rsid w:val="317D3BBA"/>
    <w:rsid w:val="32BE744E"/>
    <w:rsid w:val="33396D97"/>
    <w:rsid w:val="335F6FD7"/>
    <w:rsid w:val="34AF0937"/>
    <w:rsid w:val="35475E48"/>
    <w:rsid w:val="36B315CD"/>
    <w:rsid w:val="36C066E4"/>
    <w:rsid w:val="36CF5679"/>
    <w:rsid w:val="37324842"/>
    <w:rsid w:val="373B7B0C"/>
    <w:rsid w:val="37457CF0"/>
    <w:rsid w:val="37A120B4"/>
    <w:rsid w:val="394B45F5"/>
    <w:rsid w:val="3970333E"/>
    <w:rsid w:val="3992427C"/>
    <w:rsid w:val="39DA4F4F"/>
    <w:rsid w:val="3A03773A"/>
    <w:rsid w:val="3A2B507B"/>
    <w:rsid w:val="3B0350DF"/>
    <w:rsid w:val="3B813176"/>
    <w:rsid w:val="3BE6592F"/>
    <w:rsid w:val="3BE77FB6"/>
    <w:rsid w:val="3CD8110C"/>
    <w:rsid w:val="3D193E7C"/>
    <w:rsid w:val="3E0E4ECA"/>
    <w:rsid w:val="3E3E5D71"/>
    <w:rsid w:val="3F8115B0"/>
    <w:rsid w:val="3F8A618B"/>
    <w:rsid w:val="3F933631"/>
    <w:rsid w:val="3F9D22AD"/>
    <w:rsid w:val="3FB777A7"/>
    <w:rsid w:val="41664A65"/>
    <w:rsid w:val="424A11D9"/>
    <w:rsid w:val="4255249D"/>
    <w:rsid w:val="4265277D"/>
    <w:rsid w:val="42C82601"/>
    <w:rsid w:val="42EE5EB0"/>
    <w:rsid w:val="439E597D"/>
    <w:rsid w:val="443E767E"/>
    <w:rsid w:val="44773462"/>
    <w:rsid w:val="4530264D"/>
    <w:rsid w:val="455E10A0"/>
    <w:rsid w:val="45980FBB"/>
    <w:rsid w:val="460411B3"/>
    <w:rsid w:val="461457EE"/>
    <w:rsid w:val="4628633D"/>
    <w:rsid w:val="462B3DAD"/>
    <w:rsid w:val="46942157"/>
    <w:rsid w:val="46AF3CF4"/>
    <w:rsid w:val="4764732A"/>
    <w:rsid w:val="47664A71"/>
    <w:rsid w:val="47B76DB7"/>
    <w:rsid w:val="48B843DB"/>
    <w:rsid w:val="497B24CF"/>
    <w:rsid w:val="4A742133"/>
    <w:rsid w:val="4B1F5E4F"/>
    <w:rsid w:val="4B263AEE"/>
    <w:rsid w:val="4BA01595"/>
    <w:rsid w:val="4C113F01"/>
    <w:rsid w:val="4C882374"/>
    <w:rsid w:val="4D0E6483"/>
    <w:rsid w:val="4D37702D"/>
    <w:rsid w:val="4D77706F"/>
    <w:rsid w:val="4DEB17E5"/>
    <w:rsid w:val="4E1675DD"/>
    <w:rsid w:val="4E894A3D"/>
    <w:rsid w:val="4EA71B98"/>
    <w:rsid w:val="4EAD6017"/>
    <w:rsid w:val="4EB124A8"/>
    <w:rsid w:val="4FA74FBE"/>
    <w:rsid w:val="50026861"/>
    <w:rsid w:val="507F780B"/>
    <w:rsid w:val="50D2160B"/>
    <w:rsid w:val="50FC0EE3"/>
    <w:rsid w:val="524C05DF"/>
    <w:rsid w:val="527C7F5F"/>
    <w:rsid w:val="52D363EF"/>
    <w:rsid w:val="53972200"/>
    <w:rsid w:val="53A66C5F"/>
    <w:rsid w:val="53CE790C"/>
    <w:rsid w:val="54175782"/>
    <w:rsid w:val="57183B71"/>
    <w:rsid w:val="57671BF3"/>
    <w:rsid w:val="57D31B48"/>
    <w:rsid w:val="582D1884"/>
    <w:rsid w:val="588C57BD"/>
    <w:rsid w:val="593C7FF3"/>
    <w:rsid w:val="59A7257F"/>
    <w:rsid w:val="5AD2718F"/>
    <w:rsid w:val="5B083012"/>
    <w:rsid w:val="5BA90A83"/>
    <w:rsid w:val="5BF25068"/>
    <w:rsid w:val="5CBF6A60"/>
    <w:rsid w:val="5D380349"/>
    <w:rsid w:val="5FC171F3"/>
    <w:rsid w:val="602E61B3"/>
    <w:rsid w:val="60577D72"/>
    <w:rsid w:val="606A63E3"/>
    <w:rsid w:val="607039BC"/>
    <w:rsid w:val="60785451"/>
    <w:rsid w:val="60BE1301"/>
    <w:rsid w:val="60CB5521"/>
    <w:rsid w:val="62003040"/>
    <w:rsid w:val="62392571"/>
    <w:rsid w:val="62C0259B"/>
    <w:rsid w:val="63743B74"/>
    <w:rsid w:val="642854D0"/>
    <w:rsid w:val="643E4883"/>
    <w:rsid w:val="649B1737"/>
    <w:rsid w:val="65A42ED0"/>
    <w:rsid w:val="65DC29FF"/>
    <w:rsid w:val="65FA13AC"/>
    <w:rsid w:val="660553A9"/>
    <w:rsid w:val="673F4EFC"/>
    <w:rsid w:val="67ED2B89"/>
    <w:rsid w:val="684A6627"/>
    <w:rsid w:val="687B3367"/>
    <w:rsid w:val="69292721"/>
    <w:rsid w:val="69320958"/>
    <w:rsid w:val="69367529"/>
    <w:rsid w:val="696F1F1B"/>
    <w:rsid w:val="697E0BD6"/>
    <w:rsid w:val="69F369E3"/>
    <w:rsid w:val="6A3E2447"/>
    <w:rsid w:val="6A4D19CF"/>
    <w:rsid w:val="6A62150A"/>
    <w:rsid w:val="6A655A1D"/>
    <w:rsid w:val="6BA179A3"/>
    <w:rsid w:val="6C5C4853"/>
    <w:rsid w:val="6CA82754"/>
    <w:rsid w:val="6CD6671B"/>
    <w:rsid w:val="6D013C39"/>
    <w:rsid w:val="6D385760"/>
    <w:rsid w:val="6D6C181B"/>
    <w:rsid w:val="6D9307F1"/>
    <w:rsid w:val="6DD30E3E"/>
    <w:rsid w:val="6DE7044E"/>
    <w:rsid w:val="6DF35D68"/>
    <w:rsid w:val="6DFD4F74"/>
    <w:rsid w:val="6EAF1E53"/>
    <w:rsid w:val="6EFC51A7"/>
    <w:rsid w:val="6F467A67"/>
    <w:rsid w:val="6F930517"/>
    <w:rsid w:val="6FDF5799"/>
    <w:rsid w:val="6FF52A67"/>
    <w:rsid w:val="710255CC"/>
    <w:rsid w:val="710808C6"/>
    <w:rsid w:val="721964BB"/>
    <w:rsid w:val="722630D5"/>
    <w:rsid w:val="73006136"/>
    <w:rsid w:val="731928CC"/>
    <w:rsid w:val="73C62CFD"/>
    <w:rsid w:val="73E51040"/>
    <w:rsid w:val="75B71AC1"/>
    <w:rsid w:val="761A2000"/>
    <w:rsid w:val="76706EDC"/>
    <w:rsid w:val="78BD54DA"/>
    <w:rsid w:val="79051CCA"/>
    <w:rsid w:val="7A4B7039"/>
    <w:rsid w:val="7AF83E4D"/>
    <w:rsid w:val="7B9704D3"/>
    <w:rsid w:val="7BAE00F8"/>
    <w:rsid w:val="7BC93ACB"/>
    <w:rsid w:val="7CF4298E"/>
    <w:rsid w:val="7E6E21FA"/>
    <w:rsid w:val="7E81019F"/>
    <w:rsid w:val="7EEB5047"/>
    <w:rsid w:val="7F8861CA"/>
    <w:rsid w:val="7F974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keepNext/>
      <w:keepLines/>
      <w:spacing w:beforeLines="0" w:beforeAutospacing="0" w:afterLines="0" w:afterAutospacing="0" w:line="240" w:lineRule="auto"/>
      <w:jc w:val="center"/>
      <w:outlineLvl w:val="0"/>
    </w:pPr>
    <w:rPr>
      <w:rFonts w:ascii="Times New Roman" w:hAnsi="Times New Roman" w:eastAsia="黑体"/>
      <w:kern w:val="44"/>
      <w:sz w:val="84"/>
    </w:rPr>
  </w:style>
  <w:style w:type="paragraph" w:styleId="3">
    <w:name w:val="heading 2"/>
    <w:basedOn w:val="1"/>
    <w:next w:val="1"/>
    <w:link w:val="13"/>
    <w:uiPriority w:val="0"/>
    <w:pPr>
      <w:keepNext/>
      <w:keepLines/>
      <w:spacing w:before="0" w:beforeLines="0" w:beforeAutospacing="0" w:after="0" w:afterLines="0" w:afterAutospacing="0" w:line="240" w:lineRule="auto"/>
      <w:ind w:firstLine="640" w:firstLineChars="200"/>
      <w:jc w:val="left"/>
      <w:outlineLvl w:val="1"/>
    </w:pPr>
    <w:rPr>
      <w:rFonts w:ascii="Arial" w:hAnsi="Arial" w:eastAsia="黑体"/>
      <w:sz w:val="32"/>
    </w:rPr>
  </w:style>
  <w:style w:type="paragraph" w:styleId="4">
    <w:name w:val="heading 4"/>
    <w:basedOn w:val="1"/>
    <w:next w:val="1"/>
    <w:uiPriority w:val="0"/>
    <w:pPr>
      <w:keepNext/>
      <w:keepLines/>
      <w:spacing w:before="280" w:after="290" w:line="376" w:lineRule="auto"/>
      <w:outlineLvl w:val="3"/>
    </w:pPr>
    <w:rPr>
      <w:rFonts w:ascii="等线 Light" w:hAnsi="等线 Light" w:eastAsia="等线 Light"/>
      <w:b/>
      <w:bCs/>
      <w:szCs w:val="28"/>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toc 2"/>
    <w:basedOn w:val="1"/>
    <w:next w:val="1"/>
    <w:uiPriority w:val="0"/>
    <w:pPr>
      <w:ind w:left="420" w:leftChars="200"/>
    </w:pPr>
  </w:style>
  <w:style w:type="character" w:styleId="11">
    <w:name w:val="Hyperlink"/>
    <w:semiHidden/>
    <w:uiPriority w:val="0"/>
    <w:rPr>
      <w:color w:val="0000FF"/>
      <w:u w:val="single"/>
    </w:rPr>
  </w:style>
  <w:style w:type="paragraph" w:customStyle="1" w:styleId="12">
    <w:name w:val="p0"/>
    <w:basedOn w:val="1"/>
    <w:uiPriority w:val="0"/>
    <w:pPr>
      <w:widowControl/>
    </w:pPr>
    <w:rPr>
      <w:rFonts w:ascii="Calibri" w:hAnsi="Calibri" w:cs="宋体"/>
      <w:kern w:val="0"/>
      <w:szCs w:val="21"/>
    </w:rPr>
  </w:style>
  <w:style w:type="character" w:customStyle="1" w:styleId="13">
    <w:name w:val="标题 2{858D7CFB-ED40-4347-BF05-701D383B685F}"/>
    <w:link w:val="3"/>
    <w:uiPriority w:val="0"/>
    <w:rPr>
      <w:rFonts w:ascii="Arial" w:hAnsi="Arial"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705</Words>
  <Characters>4023</Characters>
  <Lines>33</Lines>
  <Paragraphs>9</Paragraphs>
  <TotalTime>0</TotalTime>
  <ScaleCrop>false</ScaleCrop>
  <LinksUpToDate>false</LinksUpToDate>
  <CharactersWithSpaces>4719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2020-03-20T00:55:00Z</dcterms:created>
  <dc:creator>张军</dc:creator>
  <cp:lastModifiedBy>zlt</cp:lastModifiedBy>
  <cp:lastPrinted>2021-07-30T03:19:28Z</cp:lastPrinted>
  <dcterms:modified xsi:type="dcterms:W3CDTF">2021-08-02T07:00:57Z</dcterms:modified>
  <dc:title>2015年度部门决算分析报告撰写提纲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